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jc w:val="distribute"/>
        <w:rPr>
          <w:b/>
          <w:bCs/>
          <w:color w:val="FF0000"/>
          <w:sz w:val="60"/>
          <w:szCs w:val="60"/>
        </w:rPr>
      </w:pPr>
      <w:bookmarkStart w:id="58" w:name="_GoBack"/>
      <w:bookmarkEnd w:id="58"/>
      <w:r>
        <w:rPr>
          <w:rFonts w:hint="eastAsia"/>
          <w:b/>
          <w:bCs/>
          <w:color w:val="FF0000"/>
          <w:sz w:val="60"/>
          <w:szCs w:val="60"/>
        </w:rPr>
        <w:t>中国城市会议展览业协会联盟</w:t>
      </w:r>
    </w:p>
    <w:p>
      <w:pPr>
        <w:adjustRightInd w:val="0"/>
        <w:snapToGrid w:val="0"/>
        <w:spacing w:line="360" w:lineRule="auto"/>
        <w:rPr>
          <w:b/>
          <w:bCs/>
          <w:sz w:val="32"/>
          <w:szCs w:val="32"/>
        </w:rPr>
      </w:pPr>
      <w:r>
        <w:rPr>
          <w:rFonts w:hint="eastAsia"/>
          <w:b/>
          <w:bCs/>
          <w:color w:val="FF0000"/>
          <w:sz w:val="72"/>
          <w:szCs w:val="72"/>
          <w:u w:val="single"/>
        </w:rPr>
        <w:t xml:space="preserve">                          </w:t>
      </w:r>
      <w:r>
        <w:rPr>
          <w:rFonts w:hint="eastAsia"/>
          <w:b/>
          <w:bCs/>
          <w:sz w:val="72"/>
          <w:szCs w:val="72"/>
          <w:u w:val="single"/>
        </w:rPr>
        <w:t xml:space="preserve"> </w:t>
      </w:r>
    </w:p>
    <w:p>
      <w:pPr>
        <w:adjustRightInd w:val="0"/>
        <w:snapToGrid w:val="0"/>
        <w:spacing w:line="480" w:lineRule="auto"/>
        <w:jc w:val="right"/>
        <w:rPr>
          <w:b/>
          <w:bCs/>
          <w:szCs w:val="21"/>
        </w:rPr>
      </w:pPr>
      <w:r>
        <w:rPr>
          <w:rFonts w:hint="eastAsia"/>
          <w:b/>
          <w:bCs/>
          <w:szCs w:val="21"/>
        </w:rPr>
        <w:t>201</w:t>
      </w:r>
      <w:r>
        <w:rPr>
          <w:b/>
          <w:bCs/>
          <w:szCs w:val="21"/>
        </w:rPr>
        <w:t>6</w:t>
      </w:r>
      <w:r>
        <w:rPr>
          <w:rFonts w:hint="eastAsia"/>
          <w:b/>
          <w:bCs/>
          <w:szCs w:val="21"/>
        </w:rPr>
        <w:t>【函】</w:t>
      </w:r>
      <w:r>
        <w:rPr>
          <w:b/>
          <w:bCs/>
          <w:szCs w:val="21"/>
        </w:rPr>
        <w:t>6</w:t>
      </w:r>
      <w:r>
        <w:rPr>
          <w:rFonts w:hint="eastAsia"/>
          <w:b/>
          <w:bCs/>
          <w:szCs w:val="21"/>
        </w:rPr>
        <w:t>号</w:t>
      </w:r>
    </w:p>
    <w:p>
      <w:pPr>
        <w:adjustRightInd w:val="0"/>
        <w:snapToGrid w:val="0"/>
        <w:spacing w:line="480" w:lineRule="auto"/>
        <w:jc w:val="center"/>
        <w:rPr>
          <w:b/>
          <w:bCs/>
          <w:sz w:val="32"/>
          <w:szCs w:val="32"/>
        </w:rPr>
      </w:pPr>
      <w:r>
        <w:rPr>
          <w:rFonts w:hint="eastAsia"/>
          <w:b/>
          <w:bCs/>
          <w:sz w:val="32"/>
          <w:szCs w:val="32"/>
        </w:rPr>
        <w:t>关于开展中国品牌展览会评选工作推荐的</w:t>
      </w:r>
    </w:p>
    <w:p>
      <w:pPr>
        <w:adjustRightInd w:val="0"/>
        <w:snapToGrid w:val="0"/>
        <w:spacing w:line="440" w:lineRule="exact"/>
        <w:jc w:val="center"/>
        <w:rPr>
          <w:b/>
          <w:bCs/>
          <w:sz w:val="32"/>
          <w:szCs w:val="32"/>
        </w:rPr>
      </w:pPr>
      <w:r>
        <w:rPr>
          <w:rFonts w:hint="eastAsia"/>
          <w:b/>
          <w:bCs/>
          <w:sz w:val="32"/>
          <w:szCs w:val="32"/>
        </w:rPr>
        <w:t>通知</w:t>
      </w:r>
    </w:p>
    <w:p>
      <w:pPr>
        <w:spacing w:line="800" w:lineRule="exact"/>
        <w:rPr>
          <w:rStyle w:val="13"/>
          <w:rFonts w:ascii="仿宋_GB2312" w:eastAsia="仿宋_GB2312" w:hAnsiTheme="minorEastAsia" w:cstheme="minorEastAsia"/>
          <w:b w:val="0"/>
          <w:sz w:val="30"/>
          <w:szCs w:val="30"/>
          <w:shd w:val="clear" w:color="auto" w:fill="FFFFFF"/>
        </w:rPr>
      </w:pPr>
      <w:r>
        <w:rPr>
          <w:rStyle w:val="13"/>
          <w:rFonts w:hint="eastAsia" w:ascii="仿宋_GB2312" w:eastAsia="仿宋_GB2312" w:hAnsiTheme="minorEastAsia" w:cstheme="minorEastAsia"/>
          <w:b w:val="0"/>
          <w:sz w:val="30"/>
          <w:szCs w:val="30"/>
          <w:shd w:val="clear" w:color="auto" w:fill="FFFFFF"/>
        </w:rPr>
        <w:t>各联盟成员单位：</w:t>
      </w:r>
    </w:p>
    <w:p>
      <w:pPr>
        <w:spacing w:line="800" w:lineRule="exact"/>
        <w:ind w:firstLine="600" w:firstLineChars="200"/>
        <w:rPr>
          <w:rStyle w:val="13"/>
          <w:rFonts w:ascii="仿宋_GB2312" w:eastAsia="仿宋_GB2312" w:hAnsiTheme="minorEastAsia" w:cstheme="minorEastAsia"/>
          <w:b w:val="0"/>
          <w:sz w:val="30"/>
          <w:szCs w:val="30"/>
          <w:shd w:val="clear" w:color="auto" w:fill="FFFFFF"/>
        </w:rPr>
      </w:pPr>
      <w:r>
        <w:rPr>
          <w:rStyle w:val="13"/>
          <w:rFonts w:hint="eastAsia" w:ascii="仿宋_GB2312" w:eastAsia="仿宋_GB2312" w:hAnsiTheme="minorEastAsia" w:cstheme="minorEastAsia"/>
          <w:b w:val="0"/>
          <w:sz w:val="30"/>
          <w:szCs w:val="30"/>
          <w:shd w:val="clear" w:color="auto" w:fill="FFFFFF"/>
        </w:rPr>
        <w:t>按照专业化、国际化、市场化、规范化（含信息化、知识产权保护）的标准促进中国经贸类专业展览会的品牌化建设，为中国展览行业树立标杆，增强中国展览会的国际影响力和竞争力，以实际行动落实国务院关于“努力推动我国从展览业大国向展览业强国发展，更好地服务于国民经济和社会发展全局”的战略规划。中国城市会议展览业协会联盟在大连夏季峰会会议上一致决定在全国开展中国品牌展览会评选、表彰活动。会议决定：2016年中国城市会议展览业协会联盟年会同期举办首届中国品牌展览会颁奖大会。该项评选推荐工作由各城市会展协会负责（无行业协会的城市由会展管理单位负责），评选、推荐工作不得收取任何费用。</w:t>
      </w:r>
    </w:p>
    <w:p>
      <w:pPr>
        <w:spacing w:line="800" w:lineRule="exact"/>
        <w:ind w:firstLine="600" w:firstLineChars="200"/>
        <w:rPr>
          <w:rStyle w:val="13"/>
          <w:rFonts w:hint="eastAsia" w:ascii="仿宋_GB2312" w:eastAsia="仿宋_GB2312" w:hAnsiTheme="minorEastAsia" w:cstheme="minorEastAsia"/>
          <w:b w:val="0"/>
          <w:sz w:val="30"/>
          <w:szCs w:val="30"/>
          <w:shd w:val="clear" w:color="auto" w:fill="FFFFFF"/>
        </w:rPr>
      </w:pPr>
      <w:r>
        <w:rPr>
          <w:rStyle w:val="13"/>
          <w:rFonts w:hint="eastAsia" w:ascii="仿宋_GB2312" w:eastAsia="仿宋_GB2312" w:hAnsiTheme="minorEastAsia" w:cstheme="minorEastAsia"/>
          <w:b w:val="0"/>
          <w:sz w:val="30"/>
          <w:szCs w:val="30"/>
          <w:shd w:val="clear" w:color="auto" w:fill="FFFFFF"/>
        </w:rPr>
        <w:t>经主席团会议研究，通过的《中国品牌展览会评选规则及实施细则》现发各联盟成员，希望各单位认真研读《细则》，严格按照《细则》的条件进行遴选，认真、积极做好各地区品牌展会推荐工作，确保评选、表彰活动顺利进行。</w:t>
      </w:r>
    </w:p>
    <w:p>
      <w:pPr>
        <w:spacing w:line="800" w:lineRule="exact"/>
        <w:ind w:firstLine="600" w:firstLineChars="200"/>
        <w:rPr>
          <w:rStyle w:val="13"/>
          <w:rFonts w:ascii="仿宋_GB2312" w:hAnsi="仿宋" w:eastAsia="仿宋_GB2312" w:cs="仿宋"/>
          <w:b w:val="0"/>
          <w:sz w:val="30"/>
          <w:szCs w:val="30"/>
          <w:shd w:val="clear" w:color="auto" w:fill="FFFFFF"/>
        </w:rPr>
      </w:pPr>
      <w:r>
        <w:rPr>
          <w:rStyle w:val="13"/>
          <w:rFonts w:hint="eastAsia" w:ascii="仿宋_GB2312" w:eastAsia="仿宋_GB2312" w:hAnsiTheme="minorEastAsia" w:cstheme="minorEastAsia"/>
          <w:b w:val="0"/>
          <w:sz w:val="30"/>
          <w:szCs w:val="30"/>
          <w:shd w:val="clear" w:color="auto" w:fill="FFFFFF"/>
        </w:rPr>
        <w:t>专此通知！</w:t>
      </w:r>
      <w:r>
        <w:rPr>
          <w:rStyle w:val="13"/>
          <w:rFonts w:ascii="仿宋_GB2312" w:hAnsi="仿宋" w:eastAsia="仿宋_GB2312" w:cs="仿宋"/>
          <w:b w:val="0"/>
          <w:sz w:val="30"/>
          <w:szCs w:val="30"/>
          <w:shd w:val="clear" w:color="auto" w:fill="FFFFFF"/>
        </w:rPr>
        <w:t xml:space="preserve"> </w:t>
      </w:r>
    </w:p>
    <w:p>
      <w:pPr>
        <w:spacing w:after="100" w:afterAutospacing="1" w:line="800" w:lineRule="exact"/>
        <w:ind w:firstLine="602" w:firstLineChars="200"/>
        <w:rPr>
          <w:rStyle w:val="13"/>
          <w:rFonts w:ascii="仿宋_GB2312" w:eastAsia="仿宋_GB2312" w:hAnsiTheme="minorEastAsia" w:cstheme="minorEastAsia"/>
          <w:b w:val="0"/>
          <w:sz w:val="30"/>
          <w:szCs w:val="30"/>
          <w:shd w:val="clear" w:color="auto" w:fill="FFFFFF"/>
        </w:rPr>
      </w:pPr>
      <w:r>
        <w:rPr>
          <w:rFonts w:hint="eastAsia" w:ascii="仿宋_GB2312" w:eastAsia="仿宋_GB2312" w:hAnsiTheme="minorEastAsia" w:cstheme="minorEastAsia"/>
          <w:b/>
          <w:bCs/>
          <w:color w:val="000000"/>
          <w:sz w:val="30"/>
          <w:szCs w:val="30"/>
        </w:rPr>
        <w:t>附</w:t>
      </w:r>
      <w:r>
        <w:rPr>
          <w:rStyle w:val="13"/>
          <w:rFonts w:hint="eastAsia"/>
          <w:b w:val="0"/>
          <w:shd w:val="clear" w:color="auto" w:fill="FFFFFF"/>
        </w:rPr>
        <w:t>：</w:t>
      </w:r>
      <w:r>
        <w:rPr>
          <w:rStyle w:val="13"/>
          <w:rFonts w:ascii="仿宋_GB2312" w:eastAsia="仿宋_GB2312" w:hAnsiTheme="minorEastAsia" w:cstheme="minorEastAsia"/>
          <w:b w:val="0"/>
          <w:sz w:val="30"/>
          <w:szCs w:val="30"/>
          <w:shd w:val="clear" w:color="auto" w:fill="FFFFFF"/>
        </w:rPr>
        <w:t>中国品牌展览会评选规则及实施细则</w:t>
      </w:r>
    </w:p>
    <w:p>
      <w:pPr>
        <w:spacing w:line="700" w:lineRule="exact"/>
        <w:ind w:right="600"/>
        <w:rPr>
          <w:rFonts w:hint="eastAsia" w:ascii="仿宋_GB2312" w:hAnsi="仿宋_GB2312" w:eastAsia="仿宋_GB2312" w:cs="仿宋_GB2312"/>
          <w:sz w:val="30"/>
          <w:szCs w:val="30"/>
        </w:rPr>
      </w:pPr>
    </w:p>
    <w:p>
      <w:pPr>
        <w:ind w:right="60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right="600" w:firstLine="600" w:firstLineChars="200"/>
        <w:rPr>
          <w:rFonts w:hint="eastAsia" w:ascii="仿宋_GB2312" w:hAnsi="仿宋_GB2312" w:eastAsia="仿宋_GB2312" w:cs="仿宋_GB2312"/>
          <w:sz w:val="30"/>
          <w:szCs w:val="30"/>
        </w:rPr>
      </w:pPr>
    </w:p>
    <w:p>
      <w:pPr>
        <w:ind w:right="600" w:firstLine="600" w:firstLineChars="200"/>
        <w:rPr>
          <w:rFonts w:hint="eastAsia" w:ascii="仿宋_GB2312" w:hAnsi="仿宋_GB2312" w:eastAsia="仿宋_GB2312" w:cs="仿宋_GB2312"/>
          <w:sz w:val="30"/>
          <w:szCs w:val="30"/>
        </w:rPr>
      </w:pPr>
    </w:p>
    <w:p>
      <w:pPr>
        <w:ind w:right="60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right="600" w:firstLine="600" w:firstLineChars="2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中国城市会议展览业协会联盟</w:t>
      </w:r>
    </w:p>
    <w:p>
      <w:pPr>
        <w:ind w:firstLine="600" w:firstLineChars="20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主席           秘书长 </w:t>
      </w:r>
    </w:p>
    <w:p>
      <w:pPr>
        <w:ind w:firstLine="600" w:firstLineChars="200"/>
        <w:jc w:val="center"/>
        <w:rPr>
          <w:rFonts w:ascii="仿宋_GB2312" w:hAnsi="仿宋_GB2312" w:eastAsia="仿宋_GB2312" w:cs="仿宋_GB2312"/>
          <w:sz w:val="30"/>
          <w:szCs w:val="30"/>
        </w:rPr>
      </w:pPr>
      <w:r>
        <w:rPr>
          <w:rFonts w:ascii="仿宋_GB2312" w:hAnsi="仿宋_GB2312" w:eastAsia="仿宋_GB2312" w:cs="仿宋_GB2312"/>
          <w:sz w:val="30"/>
          <w:szCs w:val="30"/>
        </w:rPr>
        <w:drawing>
          <wp:anchor distT="0" distB="0" distL="114300" distR="114300" simplePos="0" relativeHeight="251658240" behindDoc="0" locked="0" layoutInCell="1" allowOverlap="0">
            <wp:simplePos x="0" y="0"/>
            <wp:positionH relativeFrom="column">
              <wp:posOffset>4010025</wp:posOffset>
            </wp:positionH>
            <wp:positionV relativeFrom="paragraph">
              <wp:posOffset>54610</wp:posOffset>
            </wp:positionV>
            <wp:extent cx="933450" cy="790575"/>
            <wp:effectExtent l="19050" t="0" r="0" b="0"/>
            <wp:wrapNone/>
            <wp:docPr id="1" name="图片 2" descr="赵伟-签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赵伟-签名1"/>
                    <pic:cNvPicPr>
                      <a:picLocks noChangeAspect="1"/>
                    </pic:cNvPicPr>
                  </pic:nvPicPr>
                  <pic:blipFill>
                    <a:blip r:embed="rId5" cstate="print"/>
                    <a:stretch>
                      <a:fillRect/>
                    </a:stretch>
                  </pic:blipFill>
                  <pic:spPr>
                    <a:xfrm>
                      <a:off x="0" y="0"/>
                      <a:ext cx="933450" cy="790575"/>
                    </a:xfrm>
                    <a:prstGeom prst="rect">
                      <a:avLst/>
                    </a:prstGeom>
                    <a:noFill/>
                    <a:ln w="9525">
                      <a:noFill/>
                    </a:ln>
                  </pic:spPr>
                </pic:pic>
              </a:graphicData>
            </a:graphic>
          </wp:anchor>
        </w:drawing>
      </w:r>
      <w:r>
        <w:rPr>
          <w:rFonts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2524125</wp:posOffset>
            </wp:positionH>
            <wp:positionV relativeFrom="paragraph">
              <wp:posOffset>140335</wp:posOffset>
            </wp:positionV>
            <wp:extent cx="876300" cy="895350"/>
            <wp:effectExtent l="19050" t="0" r="0" b="0"/>
            <wp:wrapNone/>
            <wp:docPr id="5" name="图片 1" descr="E:\协会文头签章\郑智会长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E:\协会文头签章\郑智会长签名.jpg"/>
                    <pic:cNvPicPr>
                      <a:picLocks noChangeAspect="1" noChangeArrowheads="1"/>
                    </pic:cNvPicPr>
                  </pic:nvPicPr>
                  <pic:blipFill>
                    <a:blip r:embed="rId6" cstate="print"/>
                    <a:srcRect/>
                    <a:stretch>
                      <a:fillRect/>
                    </a:stretch>
                  </pic:blipFill>
                  <pic:spPr>
                    <a:xfrm>
                      <a:off x="0" y="0"/>
                      <a:ext cx="876300" cy="895350"/>
                    </a:xfrm>
                    <a:prstGeom prst="rect">
                      <a:avLst/>
                    </a:prstGeom>
                    <a:noFill/>
                    <a:ln w="9525">
                      <a:noFill/>
                      <a:miter lim="800000"/>
                      <a:headEnd/>
                      <a:tailEnd/>
                    </a:ln>
                  </pic:spPr>
                </pic:pic>
              </a:graphicData>
            </a:graphic>
          </wp:anchor>
        </w:drawing>
      </w:r>
    </w:p>
    <w:p>
      <w:pPr>
        <w:ind w:firstLine="600" w:firstLineChars="200"/>
        <w:jc w:val="center"/>
        <w:rPr>
          <w:rFonts w:ascii="仿宋_GB2312" w:hAnsi="仿宋_GB2312" w:eastAsia="仿宋_GB2312" w:cs="仿宋_GB2312"/>
          <w:sz w:val="30"/>
          <w:szCs w:val="30"/>
        </w:rPr>
      </w:pPr>
    </w:p>
    <w:p>
      <w:pPr>
        <w:ind w:right="135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right="750" w:firstLine="600" w:firstLineChars="2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二〇一六年七月十八日</w:t>
      </w:r>
    </w:p>
    <w:p>
      <w:pPr>
        <w:rPr>
          <w:rFonts w:ascii="仿宋_GB2312" w:eastAsia="仿宋_GB2312"/>
          <w:sz w:val="30"/>
          <w:szCs w:val="30"/>
        </w:rPr>
      </w:pPr>
    </w:p>
    <w:p>
      <w:pPr>
        <w:jc w:val="center"/>
        <w:rPr>
          <w:rFonts w:asciiTheme="majorEastAsia" w:hAnsiTheme="majorEastAsia" w:eastAsiaTheme="majorEastAsia"/>
          <w:color w:val="000000" w:themeColor="text1"/>
          <w:sz w:val="44"/>
          <w:szCs w:val="44"/>
        </w:rPr>
      </w:pPr>
    </w:p>
    <w:p>
      <w:pPr>
        <w:jc w:val="center"/>
        <w:rPr>
          <w:rFonts w:asciiTheme="majorEastAsia" w:hAnsiTheme="majorEastAsia" w:eastAsiaTheme="majorEastAsia"/>
          <w:color w:val="000000" w:themeColor="text1"/>
          <w:sz w:val="44"/>
          <w:szCs w:val="44"/>
        </w:rPr>
      </w:pPr>
    </w:p>
    <w:p>
      <w:pPr>
        <w:jc w:val="center"/>
        <w:rPr>
          <w:rFonts w:asciiTheme="majorEastAsia" w:hAnsiTheme="majorEastAsia" w:eastAsiaTheme="majorEastAsia"/>
          <w:color w:val="000000" w:themeColor="text1"/>
          <w:sz w:val="44"/>
          <w:szCs w:val="44"/>
        </w:rPr>
      </w:pPr>
    </w:p>
    <w:p>
      <w:pPr>
        <w:jc w:val="center"/>
        <w:rPr>
          <w:rFonts w:asciiTheme="majorEastAsia" w:hAnsiTheme="majorEastAsia" w:eastAsiaTheme="majorEastAsia"/>
          <w:color w:val="000000" w:themeColor="text1"/>
          <w:sz w:val="44"/>
          <w:szCs w:val="44"/>
        </w:rPr>
      </w:pPr>
    </w:p>
    <w:p>
      <w:pPr>
        <w:jc w:val="left"/>
        <w:rPr>
          <w:rFonts w:asciiTheme="majorEastAsia" w:hAnsiTheme="majorEastAsia" w:eastAsiaTheme="majorEastAsia"/>
          <w:color w:val="000000" w:themeColor="text1"/>
          <w:sz w:val="44"/>
          <w:szCs w:val="44"/>
        </w:rPr>
      </w:pPr>
      <w:r>
        <w:rPr>
          <w:rFonts w:hint="eastAsia" w:asciiTheme="majorEastAsia" w:hAnsiTheme="majorEastAsia" w:eastAsiaTheme="majorEastAsia"/>
          <w:color w:val="000000" w:themeColor="text1"/>
          <w:sz w:val="44"/>
          <w:szCs w:val="44"/>
        </w:rPr>
        <w:t>附件：</w:t>
      </w:r>
    </w:p>
    <w:p>
      <w:pPr>
        <w:jc w:val="left"/>
        <w:rPr>
          <w:rFonts w:asciiTheme="majorEastAsia" w:hAnsiTheme="majorEastAsia" w:eastAsiaTheme="majorEastAsia"/>
          <w:color w:val="000000" w:themeColor="text1"/>
          <w:sz w:val="44"/>
          <w:szCs w:val="44"/>
        </w:rPr>
      </w:pPr>
    </w:p>
    <w:p>
      <w:pPr>
        <w:spacing w:after="100" w:afterAutospacing="1" w:line="360" w:lineRule="auto"/>
        <w:jc w:val="center"/>
        <w:rPr>
          <w:rFonts w:ascii="黑体" w:hAnsi="黑体" w:eastAsia="黑体"/>
          <w:color w:val="000000" w:themeColor="text1"/>
          <w:sz w:val="48"/>
          <w:szCs w:val="48"/>
        </w:rPr>
      </w:pPr>
      <w:r>
        <w:rPr>
          <w:rFonts w:ascii="黑体" w:hAnsi="黑体" w:eastAsia="黑体"/>
          <w:color w:val="000000" w:themeColor="text1"/>
          <w:sz w:val="48"/>
          <w:szCs w:val="48"/>
        </w:rPr>
        <w:t>中国品牌展览会评选规则及实施细则</w:t>
      </w:r>
    </w:p>
    <w:p>
      <w:pPr>
        <w:pStyle w:val="2"/>
        <w:rPr>
          <w:rFonts w:ascii="宋体" w:hAnsi="宋体" w:eastAsia="宋体"/>
          <w:color w:val="000000" w:themeColor="text1"/>
          <w:sz w:val="32"/>
          <w:szCs w:val="32"/>
        </w:rPr>
      </w:pPr>
      <w:bookmarkStart w:id="0" w:name="_Toc453770906"/>
      <w:bookmarkStart w:id="1" w:name="_Toc451936170"/>
      <w:r>
        <w:rPr>
          <w:rFonts w:hint="eastAsia" w:ascii="宋体" w:hAnsi="宋体" w:eastAsia="宋体"/>
          <w:color w:val="000000" w:themeColor="text1"/>
          <w:sz w:val="32"/>
          <w:szCs w:val="32"/>
        </w:rPr>
        <w:t>一、中国品牌展览会评选规则及实施细则</w:t>
      </w:r>
      <w:bookmarkEnd w:id="0"/>
      <w:bookmarkEnd w:id="1"/>
    </w:p>
    <w:p>
      <w:pPr>
        <w:pStyle w:val="3"/>
        <w:spacing w:before="80" w:after="80" w:line="560" w:lineRule="exact"/>
        <w:ind w:firstLine="422" w:firstLineChars="150"/>
        <w:rPr>
          <w:rFonts w:ascii="黑体" w:hAnsi="黑体" w:eastAsia="黑体"/>
          <w:color w:val="000000" w:themeColor="text1"/>
          <w:sz w:val="28"/>
          <w:szCs w:val="28"/>
        </w:rPr>
      </w:pPr>
      <w:bookmarkStart w:id="2" w:name="_Toc453770907"/>
      <w:bookmarkStart w:id="3" w:name="_Toc449516328"/>
      <w:bookmarkStart w:id="4" w:name="_Toc450248303"/>
      <w:bookmarkStart w:id="5" w:name="_Toc451936171"/>
      <w:r>
        <w:rPr>
          <w:rFonts w:hint="eastAsia" w:ascii="黑体" w:hAnsi="黑体" w:eastAsia="黑体"/>
          <w:color w:val="000000" w:themeColor="text1"/>
          <w:sz w:val="28"/>
          <w:szCs w:val="28"/>
        </w:rPr>
        <w:t>（一）</w:t>
      </w:r>
      <w:r>
        <w:rPr>
          <w:rFonts w:ascii="黑体" w:hAnsi="黑体" w:eastAsia="黑体"/>
          <w:color w:val="000000" w:themeColor="text1"/>
          <w:sz w:val="28"/>
          <w:szCs w:val="28"/>
        </w:rPr>
        <w:t>评选目的</w:t>
      </w:r>
      <w:bookmarkEnd w:id="2"/>
      <w:bookmarkEnd w:id="3"/>
      <w:bookmarkEnd w:id="4"/>
      <w:bookmarkEnd w:id="5"/>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按照专业化、国际化、市场化、规范化的标准促进中国经贸类专业展览会的品牌化建设，为中国展览业树立标杆，增强中国展览会的国际影响力和竞争力。以实际行动落实国务院关于“努力推动我国从展览业大国向展览业强国发展，更好地服务于国民经济和社会发展全局”的战略规划。</w:t>
      </w:r>
    </w:p>
    <w:p>
      <w:pPr>
        <w:pStyle w:val="3"/>
        <w:spacing w:before="80" w:after="80" w:line="560" w:lineRule="exact"/>
        <w:ind w:firstLine="422" w:firstLineChars="150"/>
        <w:rPr>
          <w:rFonts w:ascii="黑体" w:hAnsi="黑体" w:eastAsia="黑体"/>
          <w:color w:val="000000" w:themeColor="text1"/>
          <w:sz w:val="28"/>
          <w:szCs w:val="28"/>
        </w:rPr>
      </w:pPr>
      <w:bookmarkStart w:id="6" w:name="_Toc449516329"/>
      <w:bookmarkStart w:id="7" w:name="_Toc450248304"/>
      <w:bookmarkStart w:id="8" w:name="_Toc453770908"/>
      <w:bookmarkStart w:id="9" w:name="_Toc451936172"/>
      <w:r>
        <w:rPr>
          <w:rFonts w:hint="eastAsia" w:ascii="黑体" w:hAnsi="黑体" w:eastAsia="黑体"/>
          <w:color w:val="000000" w:themeColor="text1"/>
          <w:sz w:val="28"/>
          <w:szCs w:val="28"/>
        </w:rPr>
        <w:t>（二）评选的范围</w:t>
      </w:r>
      <w:bookmarkEnd w:id="6"/>
      <w:bookmarkEnd w:id="7"/>
      <w:bookmarkEnd w:id="8"/>
      <w:bookmarkEnd w:id="9"/>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2014年、2015年在中国（大陆地区）各城市举办的经贸类专业展览会。</w:t>
      </w:r>
    </w:p>
    <w:p>
      <w:pPr>
        <w:pStyle w:val="3"/>
        <w:spacing w:before="80" w:after="80" w:line="560" w:lineRule="exact"/>
        <w:ind w:firstLine="422" w:firstLineChars="150"/>
        <w:rPr>
          <w:rFonts w:ascii="黑体" w:hAnsi="黑体" w:eastAsia="黑体"/>
          <w:color w:val="000000" w:themeColor="text1"/>
          <w:sz w:val="28"/>
          <w:szCs w:val="28"/>
        </w:rPr>
      </w:pPr>
      <w:bookmarkStart w:id="10" w:name="_Toc450248305"/>
      <w:bookmarkStart w:id="11" w:name="_Toc449516330"/>
      <w:bookmarkStart w:id="12" w:name="_Toc451936173"/>
      <w:bookmarkStart w:id="13" w:name="_Toc453770909"/>
      <w:r>
        <w:rPr>
          <w:rFonts w:hint="eastAsia" w:ascii="黑体" w:hAnsi="黑体" w:eastAsia="黑体"/>
          <w:color w:val="000000" w:themeColor="text1"/>
          <w:sz w:val="28"/>
          <w:szCs w:val="28"/>
        </w:rPr>
        <w:t>（三）中国品牌展览会的</w:t>
      </w:r>
      <w:bookmarkEnd w:id="10"/>
      <w:bookmarkEnd w:id="11"/>
      <w:r>
        <w:rPr>
          <w:rFonts w:hint="eastAsia" w:ascii="黑体" w:hAnsi="黑体" w:eastAsia="黑体"/>
          <w:color w:val="000000" w:themeColor="text1"/>
          <w:sz w:val="28"/>
          <w:szCs w:val="28"/>
        </w:rPr>
        <w:t>奖项设置</w:t>
      </w:r>
      <w:bookmarkEnd w:id="12"/>
      <w:bookmarkEnd w:id="13"/>
    </w:p>
    <w:p>
      <w:pPr>
        <w:pStyle w:val="26"/>
        <w:spacing w:line="319" w:lineRule="auto"/>
        <w:ind w:firstLine="562" w:firstLineChars="20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1.中国品牌展览会金奖（总名额100名）</w:t>
      </w:r>
    </w:p>
    <w:p>
      <w:pPr>
        <w:pStyle w:val="26"/>
        <w:spacing w:line="319" w:lineRule="auto"/>
        <w:ind w:firstLine="562" w:firstLineChars="20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2.中国区域性（市级）品牌展览会（各市总分第一名）。</w:t>
      </w:r>
    </w:p>
    <w:p>
      <w:pPr>
        <w:pStyle w:val="26"/>
        <w:spacing w:line="319" w:lineRule="auto"/>
        <w:ind w:firstLine="562" w:firstLineChars="20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3.中国品牌展览会提名奖（总名额不限，总评得分90分或95分以上）</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（1）中国品牌展览会提名奖（总评得分90分以上，总名次100名）；</w:t>
      </w:r>
    </w:p>
    <w:p>
      <w:pPr>
        <w:ind w:firstLine="600" w:firstLineChars="200"/>
        <w:rPr>
          <w:rFonts w:eastAsia="仿宋_GB2312" w:cs="仿宋_GB2312"/>
          <w:b/>
          <w:bCs/>
          <w:color w:val="000000" w:themeColor="text1"/>
          <w:sz w:val="28"/>
          <w:szCs w:val="28"/>
        </w:rPr>
      </w:pPr>
      <w:r>
        <w:rPr>
          <w:rFonts w:hint="eastAsia" w:ascii="仿宋" w:hAnsi="仿宋" w:eastAsia="仿宋"/>
          <w:color w:val="000000" w:themeColor="text1"/>
          <w:sz w:val="30"/>
          <w:szCs w:val="30"/>
        </w:rPr>
        <w:t>（2）中国区域性（市级）品牌展览会提名奖（总评得分90分以上）。</w:t>
      </w:r>
      <w:r>
        <w:rPr>
          <w:rFonts w:hint="eastAsia" w:ascii="仿宋_GB2312" w:hAnsi="Times New Roman" w:eastAsia="仿宋_GB2312" w:cs="仿宋_GB2312"/>
          <w:b/>
          <w:bCs/>
          <w:color w:val="000000" w:themeColor="text1"/>
          <w:sz w:val="28"/>
          <w:szCs w:val="28"/>
        </w:rPr>
        <w:t>(注：中国区域性品牌展览会原则上以北京、上海、天津、重庆、广州、深圳每市报3个项目，其他城市每市报2个项目。)</w:t>
      </w:r>
    </w:p>
    <w:p>
      <w:pPr>
        <w:pStyle w:val="3"/>
        <w:spacing w:before="80" w:after="80" w:line="560" w:lineRule="exact"/>
        <w:ind w:firstLine="422" w:firstLineChars="150"/>
        <w:rPr>
          <w:rFonts w:ascii="黑体" w:hAnsi="黑体" w:eastAsia="黑体"/>
          <w:color w:val="000000" w:themeColor="text1"/>
          <w:sz w:val="28"/>
          <w:szCs w:val="28"/>
        </w:rPr>
      </w:pPr>
      <w:bookmarkStart w:id="14" w:name="_Toc450248306"/>
      <w:bookmarkStart w:id="15" w:name="_Toc449516331"/>
      <w:bookmarkStart w:id="16" w:name="_Toc453770910"/>
      <w:bookmarkStart w:id="17" w:name="_Toc451936174"/>
      <w:r>
        <w:rPr>
          <w:rFonts w:hint="eastAsia" w:ascii="黑体" w:hAnsi="黑体" w:eastAsia="黑体"/>
          <w:color w:val="000000" w:themeColor="text1"/>
          <w:sz w:val="28"/>
          <w:szCs w:val="28"/>
        </w:rPr>
        <w:t>（四）评选条件</w:t>
      </w:r>
      <w:bookmarkEnd w:id="14"/>
      <w:bookmarkEnd w:id="15"/>
      <w:bookmarkEnd w:id="16"/>
      <w:bookmarkEnd w:id="17"/>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1.中国品牌展览会评选条件</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（1）年限：参评展览会举办时间10年以上；</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（2）规模：展览面积（展位数）全球同类展览会前5名（面积3万平方米以上）；</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（3）专业性：专业化率100%以上；</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（4）国际性：</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1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①</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参展国家和地区5个以上；</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2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②</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境外参展展位和总面积20%以上；</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3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③</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境外参展参会国家和地区数5个以上；</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4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④</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境外专业观众数不少于5%。</w:t>
      </w:r>
    </w:p>
    <w:p>
      <w:pPr>
        <w:ind w:left="2696" w:leftChars="284" w:hanging="2100" w:hangingChars="700"/>
        <w:rPr>
          <w:rFonts w:ascii="仿宋" w:hAnsi="仿宋" w:eastAsia="仿宋"/>
          <w:color w:val="000000" w:themeColor="text1"/>
          <w:sz w:val="30"/>
          <w:szCs w:val="30"/>
        </w:rPr>
      </w:pPr>
      <w:r>
        <w:rPr>
          <w:rFonts w:hint="eastAsia" w:ascii="仿宋" w:hAnsi="仿宋" w:eastAsia="仿宋"/>
          <w:color w:val="000000" w:themeColor="text1"/>
          <w:sz w:val="30"/>
          <w:szCs w:val="30"/>
        </w:rPr>
        <w:t>（5）市场性：</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1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①</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行业协会与企业主办的展会：管理、运营、筹资全部通过市场化运作；</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2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②</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政府主导型展会：市场筹资率达60%以上。</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（6）知识产权保护：</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1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①</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组展书中有知识产权保护要求；</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2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②</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在展会现场设立知识产权投诉与协调工作点；</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3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③</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展会未发生侵权问题（以无投诉为准）。</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（7）信息化建设：</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1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①</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设有双语或多语网站；</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2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②</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实现网上报名参展、观众注册；</w:t>
      </w:r>
    </w:p>
    <w:p>
      <w:pPr>
        <w:ind w:firstLine="717" w:firstLineChars="239"/>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3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③</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设立移动APP服务；</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4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④</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网上宣传推广与书面推广名称、主题、内容一致。</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（8</w:t>
      </w:r>
      <w:r>
        <w:rPr>
          <w:rFonts w:ascii="仿宋" w:hAnsi="仿宋" w:eastAsia="仿宋"/>
          <w:color w:val="000000" w:themeColor="text1"/>
          <w:sz w:val="30"/>
          <w:szCs w:val="30"/>
        </w:rPr>
        <w:t>）</w:t>
      </w:r>
      <w:r>
        <w:rPr>
          <w:rFonts w:hint="eastAsia" w:ascii="仿宋" w:hAnsi="仿宋" w:eastAsia="仿宋"/>
          <w:color w:val="000000" w:themeColor="text1"/>
          <w:sz w:val="30"/>
          <w:szCs w:val="30"/>
        </w:rPr>
        <w:t>规范化建设：</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1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①</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按规定向国家相关部门申报并经核准；</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2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②</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按规定向当地相关部门报备核准；</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3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③</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各展厅设立服务台和展位示意图；</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4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④</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5年以上无重大安全事故；</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5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⑤</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印制纸质参展手册、会刊或制作电子会刊。</w:t>
      </w:r>
    </w:p>
    <w:p>
      <w:pPr>
        <w:ind w:firstLine="600" w:firstLineChars="200"/>
        <w:rPr>
          <w:rFonts w:ascii="仿宋_GB2312" w:hAnsi="Times New Roman" w:eastAsia="仿宋_GB2312" w:cs="仿宋_GB2312"/>
          <w:b/>
          <w:bCs/>
          <w:color w:val="000000" w:themeColor="text1"/>
          <w:sz w:val="28"/>
          <w:szCs w:val="28"/>
        </w:rPr>
      </w:pPr>
      <w:r>
        <w:rPr>
          <w:rFonts w:hint="eastAsia" w:ascii="仿宋" w:hAnsi="仿宋" w:eastAsia="仿宋"/>
          <w:color w:val="000000" w:themeColor="text1"/>
          <w:sz w:val="30"/>
          <w:szCs w:val="30"/>
        </w:rPr>
        <w:t>（9）绿色展装率：组展书中有绿色展装要求，展览会绿色展装率达特装面积的60%。</w:t>
      </w:r>
      <w:r>
        <w:rPr>
          <w:rFonts w:hint="eastAsia" w:ascii="仿宋_GB2312" w:hAnsi="Times New Roman" w:eastAsia="仿宋_GB2312" w:cs="仿宋_GB2312"/>
          <w:b/>
          <w:bCs/>
          <w:color w:val="000000" w:themeColor="text1"/>
          <w:sz w:val="28"/>
          <w:szCs w:val="28"/>
        </w:rPr>
        <w:t>（注：绿色展装是指用材环保、节能、节材、循环使用。）</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（10）社会影响力：</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① 论坛的数量多，档次高；</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1 \* alphabetic</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ascii="仿宋" w:hAnsi="仿宋" w:eastAsia="仿宋"/>
          <w:color w:val="000000" w:themeColor="text1"/>
          <w:sz w:val="30"/>
          <w:szCs w:val="30"/>
        </w:rPr>
        <w:t>a</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设有主题论坛和和分论坛5场以上；</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b. 论坛档次高，有业界名人（各国院士级、全国行业领军人物或国家部级领导出席）。</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2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②</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媒体关注度高；</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a. 展会期间设立新闻中心；</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b. 境内外20家以上媒体参会；</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c. 国家级主流媒体10家以上参会。</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国家级主流媒体名单：新华社、人民日报、中央电视台、中央人民广播电台、光明日报、求是、经济日报、中国国际广播电台、中国青年报、工人日报、人民日报海外版、中国日报、中国新闻社、瞭望杂志、每日经济新闻、财经杂志、经济参考报、经济观察报、21世纪经济报道、第一财经日报、参考消息、科技日报、法制日报、环球时报、半月谈、南方周末、中国经济时报、中国证券报、人民网、新华网、中国网、中国经济网、中国新闻网、新浪网、搜狐网、网易网、腾讯网、凤凰网）</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(11)展、客商满意度：分别在90%以上。</w:t>
      </w:r>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2.中国区域性品牌展览会评选条件（以地级以上城市为单位）</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（1）年限：举办年限5年以上；</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（2）规模：在本市（直辖市和自治区）内同类展览会第一名（3万平方米以上）；</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（3）专业性：专业化率90%以上；</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（4）市场性：市场化率100%；</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（5）知识产权保护：</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① 组展书中有知识产权保护要求；</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2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②</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展会现场设立知识产权保护投诉点；</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3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③</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展会未发生侵权问题（以无投诉案件为准）。</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（6）信息化建设：</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① 设有互联网站；</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2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②</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实现网上报名参展、注册；</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3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③</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设立移动APP服务。</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（7）规范化建设：</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① 按规定向相关机构申报并核准；</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2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②</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各展厅设立服务台和展位示意图；</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3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③</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现场秩序好；</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4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④</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5年以上无重大安全事故；</w:t>
      </w:r>
    </w:p>
    <w:p>
      <w:pPr>
        <w:ind w:firstLine="750" w:firstLineChars="250"/>
        <w:rPr>
          <w:rFonts w:ascii="仿宋" w:hAnsi="仿宋" w:eastAsia="仿宋"/>
          <w:color w:val="000000" w:themeColor="text1"/>
          <w:sz w:val="30"/>
          <w:szCs w:val="30"/>
        </w:rPr>
      </w:pPr>
      <w:r>
        <w:rPr>
          <w:rFonts w:ascii="仿宋" w:hAnsi="仿宋" w:eastAsia="仿宋"/>
          <w:color w:val="000000" w:themeColor="text1"/>
          <w:sz w:val="30"/>
          <w:szCs w:val="30"/>
        </w:rPr>
        <w:fldChar w:fldCharType="begin"/>
      </w:r>
      <w:r>
        <w:rPr>
          <w:rFonts w:ascii="仿宋" w:hAnsi="仿宋" w:eastAsia="仿宋"/>
          <w:color w:val="000000" w:themeColor="text1"/>
          <w:sz w:val="30"/>
          <w:szCs w:val="30"/>
        </w:rPr>
        <w:instrText xml:space="preserve"> </w:instrText>
      </w:r>
      <w:r>
        <w:rPr>
          <w:rFonts w:hint="eastAsia" w:ascii="仿宋" w:hAnsi="仿宋" w:eastAsia="仿宋"/>
          <w:color w:val="000000" w:themeColor="text1"/>
          <w:sz w:val="30"/>
          <w:szCs w:val="30"/>
        </w:rPr>
        <w:instrText xml:space="preserve">= 5 \* GB3</w:instrText>
      </w:r>
      <w:r>
        <w:rPr>
          <w:rFonts w:ascii="仿宋" w:hAnsi="仿宋" w:eastAsia="仿宋"/>
          <w:color w:val="000000" w:themeColor="text1"/>
          <w:sz w:val="30"/>
          <w:szCs w:val="30"/>
        </w:rPr>
        <w:instrText xml:space="preserve"> </w:instrText>
      </w:r>
      <w:r>
        <w:rPr>
          <w:rFonts w:ascii="仿宋" w:hAnsi="仿宋" w:eastAsia="仿宋"/>
          <w:color w:val="000000" w:themeColor="text1"/>
          <w:sz w:val="30"/>
          <w:szCs w:val="30"/>
        </w:rPr>
        <w:fldChar w:fldCharType="separate"/>
      </w:r>
      <w:r>
        <w:rPr>
          <w:rFonts w:hint="eastAsia" w:ascii="仿宋" w:hAnsi="仿宋" w:eastAsia="仿宋"/>
          <w:color w:val="000000" w:themeColor="text1"/>
          <w:sz w:val="30"/>
          <w:szCs w:val="30"/>
        </w:rPr>
        <w:t>⑤</w:t>
      </w:r>
      <w:r>
        <w:rPr>
          <w:rFonts w:ascii="仿宋" w:hAnsi="仿宋" w:eastAsia="仿宋"/>
          <w:color w:val="000000" w:themeColor="text1"/>
          <w:sz w:val="30"/>
          <w:szCs w:val="30"/>
        </w:rPr>
        <w:fldChar w:fldCharType="end"/>
      </w:r>
      <w:r>
        <w:rPr>
          <w:rFonts w:hint="eastAsia" w:ascii="仿宋" w:hAnsi="仿宋" w:eastAsia="仿宋"/>
          <w:color w:val="000000" w:themeColor="text1"/>
          <w:sz w:val="30"/>
          <w:szCs w:val="30"/>
        </w:rPr>
        <w:t xml:space="preserve"> 印制纸质参展手册、会刊或电子会刊。</w:t>
      </w:r>
    </w:p>
    <w:p>
      <w:pPr>
        <w:ind w:firstLine="600" w:firstLineChars="200"/>
        <w:rPr>
          <w:rFonts w:ascii="仿宋_GB2312" w:hAnsi="Times New Roman" w:eastAsia="仿宋_GB2312" w:cs="仿宋_GB2312"/>
          <w:b/>
          <w:bCs/>
          <w:color w:val="000000" w:themeColor="text1"/>
          <w:sz w:val="28"/>
          <w:szCs w:val="28"/>
        </w:rPr>
      </w:pPr>
      <w:r>
        <w:rPr>
          <w:rFonts w:hint="eastAsia" w:ascii="仿宋" w:hAnsi="仿宋" w:eastAsia="仿宋"/>
          <w:color w:val="000000" w:themeColor="text1"/>
          <w:sz w:val="30"/>
          <w:szCs w:val="30"/>
        </w:rPr>
        <w:t>（8）绿色展装率：组展书中有绿色展装要求，绿色展装率达50%；</w:t>
      </w:r>
      <w:r>
        <w:rPr>
          <w:rFonts w:hint="eastAsia" w:ascii="仿宋_GB2312" w:hAnsi="Times New Roman" w:eastAsia="仿宋_GB2312" w:cs="仿宋_GB2312"/>
          <w:b/>
          <w:bCs/>
          <w:color w:val="000000" w:themeColor="text1"/>
          <w:sz w:val="28"/>
          <w:szCs w:val="28"/>
        </w:rPr>
        <w:t>（注：绿色展装是指用材环保、节能、节材、循环使用。）</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（9）展商综合满意度：90%以上；</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（10）客商综合满意度：90%以上。</w:t>
      </w:r>
    </w:p>
    <w:p>
      <w:pPr>
        <w:pStyle w:val="3"/>
        <w:spacing w:before="80" w:after="80" w:line="560" w:lineRule="exact"/>
        <w:ind w:firstLine="422" w:firstLineChars="150"/>
        <w:rPr>
          <w:rFonts w:ascii="黑体" w:hAnsi="黑体" w:eastAsia="黑体"/>
          <w:color w:val="000000" w:themeColor="text1"/>
          <w:sz w:val="28"/>
          <w:szCs w:val="28"/>
        </w:rPr>
      </w:pPr>
      <w:bookmarkStart w:id="18" w:name="_Toc449516332"/>
      <w:bookmarkStart w:id="19" w:name="_Toc453770911"/>
      <w:bookmarkStart w:id="20" w:name="_Toc451936175"/>
      <w:bookmarkStart w:id="21" w:name="_Toc450248307"/>
      <w:r>
        <w:rPr>
          <w:rFonts w:hint="eastAsia" w:ascii="黑体" w:hAnsi="黑体" w:eastAsia="黑体"/>
          <w:color w:val="000000" w:themeColor="text1"/>
          <w:sz w:val="28"/>
          <w:szCs w:val="28"/>
        </w:rPr>
        <w:t>（五）</w:t>
      </w:r>
      <w:r>
        <w:rPr>
          <w:rFonts w:ascii="黑体" w:hAnsi="黑体" w:eastAsia="黑体"/>
          <w:color w:val="000000" w:themeColor="text1"/>
          <w:sz w:val="28"/>
          <w:szCs w:val="28"/>
        </w:rPr>
        <w:t>评选机构及职责</w:t>
      </w:r>
      <w:bookmarkEnd w:id="18"/>
      <w:bookmarkEnd w:id="19"/>
      <w:bookmarkEnd w:id="20"/>
      <w:bookmarkEnd w:id="21"/>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为保证中国品牌展览会评选、表彰工作的顺利进行，做到客观、公正、公平，评选工作在联盟常务理事会领导下进行，成立评选领导小组和专家评审委员会。</w:t>
      </w:r>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1.评选领导小组</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（1）人员组成：领导小组由联盟主席、副主席和联盟执行主席组成：（郑智、李霞辉、陈幸、赵伟、原家强、孙栋、</w:t>
      </w:r>
      <w:r>
        <w:rPr>
          <w:rFonts w:hint="eastAsia" w:ascii="仿宋" w:hAnsi="仿宋" w:eastAsia="仿宋"/>
          <w:color w:val="000000" w:themeColor="text1"/>
          <w:sz w:val="30"/>
          <w:szCs w:val="30"/>
          <w:shd w:val="clear" w:color="auto" w:fill="FFFFFF"/>
        </w:rPr>
        <w:t>陈尉纲），</w:t>
      </w:r>
      <w:r>
        <w:rPr>
          <w:rFonts w:hint="eastAsia" w:ascii="仿宋" w:hAnsi="仿宋" w:eastAsia="仿宋"/>
          <w:color w:val="000000" w:themeColor="text1"/>
          <w:sz w:val="30"/>
          <w:szCs w:val="30"/>
        </w:rPr>
        <w:t>郑智任组长，李霞辉、陈幸、赵伟任副组长；</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（2）主要任务：品牌评选、重大事项的决策，起草评选规则；制定工作计划，组织评选、筹资、专家和嘉宾邀请；</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联盟秘书处是领导小组办事机构，负责评选信息通知的发布、申报、推荐材料的收集、分类、初审；日常领导工作由赵伟负责。</w:t>
      </w:r>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2.专家评审委员会</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专家评审委员会由25位业内专业人士组成；</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(1)人员组成：常务理事单位每家派一人，会展媒体、研究机构和会展标准化委员会各邀一至两位专家；</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(2)主要任务：负责品牌展览会的评审工作。</w:t>
      </w:r>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3.</w:t>
      </w:r>
      <w:r>
        <w:rPr>
          <w:rFonts w:ascii="仿宋_GB2312" w:eastAsia="仿宋_GB2312" w:cs="仿宋_GB2312"/>
          <w:b/>
          <w:bCs/>
          <w:color w:val="000000" w:themeColor="text1"/>
          <w:sz w:val="28"/>
          <w:szCs w:val="28"/>
        </w:rPr>
        <w:t>合作机构</w:t>
      </w:r>
    </w:p>
    <w:p>
      <w:pPr>
        <w:ind w:firstLine="600" w:firstLineChars="200"/>
        <w:rPr>
          <w:rFonts w:ascii="仿宋" w:hAnsi="仿宋" w:eastAsia="仿宋"/>
          <w:color w:val="000000" w:themeColor="text1"/>
          <w:sz w:val="30"/>
          <w:szCs w:val="30"/>
        </w:rPr>
      </w:pPr>
      <w:r>
        <w:rPr>
          <w:rFonts w:ascii="仿宋" w:hAnsi="仿宋" w:eastAsia="仿宋"/>
          <w:color w:val="000000" w:themeColor="text1"/>
          <w:sz w:val="30"/>
          <w:szCs w:val="30"/>
        </w:rPr>
        <w:t>聘请或征集</w:t>
      </w:r>
      <w:r>
        <w:rPr>
          <w:rFonts w:hint="eastAsia" w:ascii="仿宋" w:hAnsi="仿宋" w:eastAsia="仿宋"/>
          <w:color w:val="000000" w:themeColor="text1"/>
          <w:sz w:val="30"/>
          <w:szCs w:val="30"/>
        </w:rPr>
        <w:t>1-2家机构（一家为互联网企业）作为合作机构，对展览会的信息进行核查，提供帮助。</w:t>
      </w:r>
    </w:p>
    <w:p>
      <w:pPr>
        <w:pStyle w:val="3"/>
        <w:spacing w:before="80" w:after="80" w:line="560" w:lineRule="exact"/>
        <w:ind w:firstLine="422" w:firstLineChars="150"/>
        <w:rPr>
          <w:rFonts w:ascii="黑体" w:hAnsi="黑体" w:eastAsia="黑体"/>
          <w:color w:val="000000" w:themeColor="text1"/>
          <w:sz w:val="28"/>
          <w:szCs w:val="28"/>
        </w:rPr>
      </w:pPr>
      <w:bookmarkStart w:id="22" w:name="_Toc453770912"/>
      <w:bookmarkStart w:id="23" w:name="_Toc450248308"/>
      <w:bookmarkStart w:id="24" w:name="_Toc449516333"/>
      <w:bookmarkStart w:id="25" w:name="_Toc451936176"/>
      <w:r>
        <w:rPr>
          <w:rFonts w:hint="eastAsia" w:ascii="黑体" w:hAnsi="黑体" w:eastAsia="黑体"/>
          <w:color w:val="000000" w:themeColor="text1"/>
          <w:sz w:val="28"/>
          <w:szCs w:val="28"/>
        </w:rPr>
        <w:t>（六）评选程序与规则</w:t>
      </w:r>
      <w:bookmarkEnd w:id="22"/>
      <w:bookmarkEnd w:id="23"/>
      <w:bookmarkEnd w:id="24"/>
      <w:bookmarkEnd w:id="25"/>
    </w:p>
    <w:p>
      <w:pPr>
        <w:pStyle w:val="26"/>
        <w:spacing w:line="319" w:lineRule="auto"/>
        <w:ind w:firstLine="315" w:firstLineChars="150"/>
        <w:rPr>
          <w:rFonts w:ascii="仿宋_GB2312" w:eastAsia="仿宋_GB2312" w:cs="仿宋_GB2312"/>
          <w:b/>
          <w:bCs/>
          <w:color w:val="000000" w:themeColor="text1"/>
          <w:sz w:val="28"/>
          <w:szCs w:val="28"/>
        </w:rPr>
      </w:pPr>
      <w:r>
        <w:rPr>
          <w:rFonts w:hint="eastAsia"/>
        </w:rPr>
        <w:t xml:space="preserve">  </w:t>
      </w:r>
      <w:r>
        <w:rPr>
          <w:rFonts w:hint="eastAsia" w:ascii="仿宋_GB2312" w:eastAsia="仿宋_GB2312" w:cs="仿宋_GB2312"/>
          <w:b/>
          <w:bCs/>
          <w:color w:val="000000" w:themeColor="text1"/>
          <w:sz w:val="28"/>
          <w:szCs w:val="28"/>
        </w:rPr>
        <w:t>1.项目单位自荐：</w:t>
      </w:r>
      <w:r>
        <w:rPr>
          <w:rFonts w:hint="eastAsia" w:ascii="仿宋_GB2312" w:eastAsia="仿宋_GB2312" w:cs="仿宋_GB2312"/>
          <w:bCs/>
          <w:color w:val="000000" w:themeColor="text1"/>
          <w:sz w:val="28"/>
          <w:szCs w:val="28"/>
        </w:rPr>
        <w:t>由展览项目主承办单位提出评奖申请。</w:t>
      </w:r>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2.品牌展会推荐：</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品牌展会的初选、推荐由各城市会展协会负责，没有协会的城市邀请行业主管部门推荐；</w:t>
      </w:r>
    </w:p>
    <w:p>
      <w:pPr>
        <w:ind w:firstLine="562" w:firstLineChars="200"/>
        <w:rPr>
          <w:rFonts w:ascii="仿宋" w:hAnsi="仿宋" w:eastAsia="仿宋"/>
          <w:color w:val="000000" w:themeColor="text1"/>
          <w:sz w:val="30"/>
          <w:szCs w:val="30"/>
        </w:rPr>
      </w:pPr>
      <w:r>
        <w:rPr>
          <w:rFonts w:hint="eastAsia" w:ascii="仿宋_GB2312" w:hAnsi="Times New Roman" w:eastAsia="仿宋_GB2312" w:cs="仿宋_GB2312"/>
          <w:b/>
          <w:bCs/>
          <w:color w:val="000000" w:themeColor="text1"/>
          <w:sz w:val="28"/>
          <w:szCs w:val="28"/>
        </w:rPr>
        <w:t>3.品牌展会的初审：</w:t>
      </w:r>
      <w:r>
        <w:rPr>
          <w:rFonts w:hint="eastAsia" w:ascii="仿宋" w:hAnsi="仿宋" w:eastAsia="仿宋"/>
          <w:color w:val="000000" w:themeColor="text1"/>
          <w:sz w:val="30"/>
          <w:szCs w:val="30"/>
        </w:rPr>
        <w:t>初审工作由联盟秘书处按条件提出初审名单；</w:t>
      </w:r>
    </w:p>
    <w:p>
      <w:pPr>
        <w:ind w:firstLine="562" w:firstLineChars="200"/>
        <w:rPr>
          <w:rFonts w:ascii="仿宋" w:hAnsi="仿宋" w:eastAsia="仿宋"/>
          <w:color w:val="000000" w:themeColor="text1"/>
          <w:sz w:val="30"/>
          <w:szCs w:val="30"/>
        </w:rPr>
      </w:pPr>
      <w:r>
        <w:rPr>
          <w:rFonts w:hint="eastAsia" w:ascii="仿宋_GB2312" w:hAnsi="Times New Roman" w:eastAsia="仿宋_GB2312" w:cs="仿宋_GB2312"/>
          <w:b/>
          <w:bCs/>
          <w:color w:val="000000" w:themeColor="text1"/>
          <w:sz w:val="28"/>
          <w:szCs w:val="28"/>
        </w:rPr>
        <w:t>4.评审：</w:t>
      </w:r>
      <w:r>
        <w:rPr>
          <w:rFonts w:hint="eastAsia" w:ascii="仿宋" w:hAnsi="仿宋" w:eastAsia="仿宋"/>
          <w:color w:val="000000" w:themeColor="text1"/>
          <w:sz w:val="30"/>
          <w:szCs w:val="30"/>
        </w:rPr>
        <w:t>评审工作在颁奖前一个月完成，组织专家集中评审并交领导小组审议；</w:t>
      </w:r>
    </w:p>
    <w:p>
      <w:pPr>
        <w:ind w:firstLine="562" w:firstLineChars="200"/>
        <w:rPr>
          <w:rFonts w:ascii="仿宋" w:hAnsi="仿宋" w:eastAsia="仿宋"/>
          <w:color w:val="000000" w:themeColor="text1"/>
          <w:sz w:val="30"/>
          <w:szCs w:val="30"/>
        </w:rPr>
      </w:pPr>
      <w:r>
        <w:rPr>
          <w:rFonts w:hint="eastAsia" w:ascii="仿宋_GB2312" w:hAnsi="Times New Roman" w:eastAsia="仿宋_GB2312" w:cs="仿宋_GB2312"/>
          <w:b/>
          <w:bCs/>
          <w:color w:val="000000" w:themeColor="text1"/>
          <w:sz w:val="28"/>
          <w:szCs w:val="28"/>
        </w:rPr>
        <w:t>5.核查：</w:t>
      </w:r>
      <w:r>
        <w:rPr>
          <w:rFonts w:hint="eastAsia" w:ascii="仿宋" w:hAnsi="仿宋" w:eastAsia="仿宋"/>
          <w:color w:val="000000" w:themeColor="text1"/>
          <w:sz w:val="30"/>
          <w:szCs w:val="30"/>
        </w:rPr>
        <w:t>核查工作聘请一家非办展机构负责、了解其展会规模等信息；</w:t>
      </w:r>
    </w:p>
    <w:p>
      <w:pPr>
        <w:ind w:firstLine="562" w:firstLineChars="200"/>
        <w:rPr>
          <w:rFonts w:ascii="仿宋" w:hAnsi="仿宋" w:eastAsia="仿宋"/>
          <w:color w:val="000000" w:themeColor="text1"/>
          <w:sz w:val="30"/>
          <w:szCs w:val="30"/>
        </w:rPr>
      </w:pPr>
      <w:r>
        <w:rPr>
          <w:rFonts w:hint="eastAsia" w:ascii="仿宋_GB2312" w:hAnsi="Times New Roman" w:eastAsia="仿宋_GB2312" w:cs="仿宋_GB2312"/>
          <w:b/>
          <w:bCs/>
          <w:color w:val="000000" w:themeColor="text1"/>
          <w:sz w:val="28"/>
          <w:szCs w:val="28"/>
        </w:rPr>
        <w:t>6.公示：</w:t>
      </w:r>
      <w:r>
        <w:rPr>
          <w:rFonts w:hint="eastAsia" w:ascii="仿宋" w:hAnsi="仿宋" w:eastAsia="仿宋"/>
          <w:color w:val="000000" w:themeColor="text1"/>
          <w:sz w:val="30"/>
          <w:szCs w:val="30"/>
        </w:rPr>
        <w:t>评选结果在联盟网站和各城市网站公示一周；</w:t>
      </w:r>
    </w:p>
    <w:p>
      <w:pPr>
        <w:ind w:firstLine="562" w:firstLineChars="200"/>
        <w:rPr>
          <w:rFonts w:ascii="仿宋" w:hAnsi="仿宋" w:eastAsia="仿宋"/>
          <w:color w:val="000000" w:themeColor="text1"/>
          <w:sz w:val="30"/>
          <w:szCs w:val="30"/>
        </w:rPr>
      </w:pPr>
      <w:r>
        <w:rPr>
          <w:rFonts w:hint="eastAsia" w:ascii="仿宋_GB2312" w:hAnsi="Times New Roman" w:eastAsia="仿宋_GB2312" w:cs="仿宋_GB2312"/>
          <w:b/>
          <w:bCs/>
          <w:color w:val="000000" w:themeColor="text1"/>
          <w:sz w:val="28"/>
          <w:szCs w:val="28"/>
        </w:rPr>
        <w:t>7.确定名单：</w:t>
      </w:r>
      <w:r>
        <w:rPr>
          <w:rFonts w:hint="eastAsia" w:ascii="仿宋" w:hAnsi="仿宋" w:eastAsia="仿宋"/>
          <w:color w:val="000000" w:themeColor="text1"/>
          <w:sz w:val="30"/>
          <w:szCs w:val="30"/>
        </w:rPr>
        <w:t>根据公示结果，由联盟常务理事会决定表彰名单。</w:t>
      </w:r>
    </w:p>
    <w:p>
      <w:pPr>
        <w:pStyle w:val="3"/>
        <w:spacing w:before="80" w:after="80" w:line="560" w:lineRule="exact"/>
        <w:ind w:firstLine="422" w:firstLineChars="150"/>
        <w:rPr>
          <w:rFonts w:ascii="黑体" w:hAnsi="黑体" w:eastAsia="黑体"/>
          <w:color w:val="000000" w:themeColor="text1"/>
          <w:sz w:val="28"/>
          <w:szCs w:val="28"/>
        </w:rPr>
      </w:pPr>
      <w:bookmarkStart w:id="26" w:name="_Toc451936178"/>
      <w:bookmarkStart w:id="27" w:name="_Toc450248310"/>
      <w:bookmarkStart w:id="28" w:name="_Toc453770913"/>
      <w:bookmarkStart w:id="29" w:name="_Toc449516335"/>
      <w:r>
        <w:rPr>
          <w:rFonts w:hint="eastAsia" w:ascii="黑体" w:hAnsi="黑体" w:eastAsia="黑体"/>
          <w:color w:val="000000" w:themeColor="text1"/>
          <w:sz w:val="28"/>
          <w:szCs w:val="28"/>
        </w:rPr>
        <w:t>（七）表彰</w:t>
      </w:r>
      <w:bookmarkEnd w:id="26"/>
      <w:bookmarkEnd w:id="27"/>
      <w:bookmarkEnd w:id="28"/>
      <w:bookmarkEnd w:id="29"/>
    </w:p>
    <w:p>
      <w:pPr>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1.中国品牌展览会评选原则上两年一次；</w:t>
      </w:r>
    </w:p>
    <w:p>
      <w:pPr>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2.表彰活动与联盟年会同期举行；</w:t>
      </w:r>
    </w:p>
    <w:p>
      <w:pPr>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3.颁奖晚会隆重、热烈、简朴，邀请中央和相关地方媒体采访报导；</w:t>
      </w:r>
    </w:p>
    <w:p>
      <w:pPr>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4.对获品牌展览会的项目单位颁发奖杯或奖牌。</w:t>
      </w:r>
    </w:p>
    <w:p>
      <w:pPr>
        <w:pStyle w:val="3"/>
        <w:spacing w:before="80" w:after="80" w:line="560" w:lineRule="exact"/>
        <w:ind w:firstLine="422" w:firstLineChars="150"/>
        <w:rPr>
          <w:rFonts w:ascii="黑体" w:hAnsi="黑体" w:eastAsia="黑体"/>
          <w:color w:val="000000" w:themeColor="text1"/>
          <w:sz w:val="28"/>
          <w:szCs w:val="28"/>
        </w:rPr>
      </w:pPr>
      <w:bookmarkStart w:id="30" w:name="_Toc453770914"/>
      <w:bookmarkStart w:id="31" w:name="_Toc449516334"/>
      <w:bookmarkStart w:id="32" w:name="_Toc450248309"/>
      <w:bookmarkStart w:id="33" w:name="_Toc451936177"/>
      <w:r>
        <w:rPr>
          <w:rFonts w:hint="eastAsia" w:ascii="黑体" w:hAnsi="黑体" w:eastAsia="黑体"/>
          <w:color w:val="000000" w:themeColor="text1"/>
          <w:sz w:val="28"/>
          <w:szCs w:val="28"/>
        </w:rPr>
        <w:t>（八）</w:t>
      </w:r>
      <w:r>
        <w:rPr>
          <w:rFonts w:ascii="黑体" w:hAnsi="黑体" w:eastAsia="黑体"/>
          <w:color w:val="000000" w:themeColor="text1"/>
          <w:sz w:val="28"/>
          <w:szCs w:val="28"/>
        </w:rPr>
        <w:t>运营管理</w:t>
      </w:r>
      <w:bookmarkEnd w:id="30"/>
      <w:bookmarkEnd w:id="31"/>
      <w:bookmarkEnd w:id="32"/>
      <w:bookmarkEnd w:id="33"/>
    </w:p>
    <w:p>
      <w:pPr>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1.参评活动不收费：</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中国品牌展览会评选工作是一项公益活动，任何单位不得收取参评单位的费用；</w:t>
      </w:r>
    </w:p>
    <w:p>
      <w:pPr>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2.评审纪律：</w:t>
      </w:r>
    </w:p>
    <w:p>
      <w:pPr>
        <w:ind w:firstLine="560" w:firstLineChars="200"/>
        <w:rPr>
          <w:rFonts w:ascii="仿宋_GB2312" w:hAnsi="Times New Roman" w:eastAsia="仿宋_GB2312" w:cs="仿宋_GB2312"/>
          <w:bCs/>
          <w:color w:val="000000" w:themeColor="text1"/>
          <w:sz w:val="28"/>
          <w:szCs w:val="28"/>
        </w:rPr>
      </w:pPr>
      <w:r>
        <w:rPr>
          <w:rFonts w:hint="eastAsia" w:ascii="仿宋_GB2312" w:hAnsi="Times New Roman" w:eastAsia="仿宋_GB2312" w:cs="仿宋_GB2312"/>
          <w:bCs/>
          <w:color w:val="000000" w:themeColor="text1"/>
          <w:sz w:val="28"/>
          <w:szCs w:val="28"/>
        </w:rPr>
        <w:t>参评专家不得向参评单位收取和索取任何费用；</w:t>
      </w:r>
    </w:p>
    <w:p>
      <w:pPr>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3.资金筹措：</w:t>
      </w:r>
    </w:p>
    <w:p>
      <w:pPr>
        <w:ind w:firstLine="560" w:firstLineChars="200"/>
        <w:rPr>
          <w:rFonts w:ascii="仿宋_GB2312" w:hAnsi="Times New Roman" w:eastAsia="仿宋_GB2312" w:cs="仿宋_GB2312"/>
          <w:bCs/>
          <w:color w:val="000000" w:themeColor="text1"/>
          <w:sz w:val="28"/>
          <w:szCs w:val="28"/>
        </w:rPr>
      </w:pPr>
      <w:r>
        <w:rPr>
          <w:rFonts w:ascii="仿宋_GB2312" w:hAnsi="Times New Roman" w:eastAsia="仿宋_GB2312" w:cs="仿宋_GB2312"/>
          <w:bCs/>
          <w:color w:val="000000" w:themeColor="text1"/>
          <w:sz w:val="28"/>
          <w:szCs w:val="28"/>
        </w:rPr>
        <w:t>评选筹资工作由</w:t>
      </w:r>
      <w:r>
        <w:rPr>
          <w:rFonts w:hint="eastAsia" w:ascii="仿宋_GB2312" w:hAnsi="Times New Roman" w:eastAsia="仿宋_GB2312" w:cs="仿宋_GB2312"/>
          <w:bCs/>
          <w:color w:val="000000" w:themeColor="text1"/>
          <w:sz w:val="28"/>
          <w:szCs w:val="28"/>
        </w:rPr>
        <w:t>年会</w:t>
      </w:r>
      <w:r>
        <w:rPr>
          <w:rFonts w:ascii="仿宋_GB2312" w:hAnsi="Times New Roman" w:eastAsia="仿宋_GB2312" w:cs="仿宋_GB2312"/>
          <w:bCs/>
          <w:color w:val="000000" w:themeColor="text1"/>
          <w:sz w:val="28"/>
          <w:szCs w:val="28"/>
        </w:rPr>
        <w:t>承办地协会负责，各常任理事单位可以推荐赞助单位</w:t>
      </w:r>
      <w:r>
        <w:rPr>
          <w:rFonts w:hint="eastAsia" w:ascii="仿宋_GB2312" w:hAnsi="Times New Roman" w:eastAsia="仿宋_GB2312" w:cs="仿宋_GB2312"/>
          <w:bCs/>
          <w:color w:val="000000" w:themeColor="text1"/>
          <w:sz w:val="28"/>
          <w:szCs w:val="28"/>
        </w:rPr>
        <w:t>；</w:t>
      </w:r>
    </w:p>
    <w:p>
      <w:pPr>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4.表彰活动：</w:t>
      </w:r>
    </w:p>
    <w:p>
      <w:pPr>
        <w:ind w:firstLine="560" w:firstLineChars="200"/>
        <w:rPr>
          <w:rFonts w:ascii="仿宋_GB2312" w:hAnsi="Times New Roman" w:eastAsia="仿宋_GB2312" w:cs="仿宋_GB2312"/>
          <w:bCs/>
          <w:color w:val="000000" w:themeColor="text1"/>
          <w:sz w:val="28"/>
          <w:szCs w:val="28"/>
        </w:rPr>
      </w:pPr>
      <w:r>
        <w:rPr>
          <w:rFonts w:hint="eastAsia" w:ascii="仿宋_GB2312" w:hAnsi="Times New Roman" w:eastAsia="仿宋_GB2312" w:cs="仿宋_GB2312"/>
          <w:bCs/>
          <w:color w:val="000000" w:themeColor="text1"/>
          <w:sz w:val="28"/>
          <w:szCs w:val="28"/>
        </w:rPr>
        <w:t>表彰活动的策划、组织方案由承办协会起草，经联盟常务理事会同意后实施。</w:t>
      </w:r>
    </w:p>
    <w:p>
      <w:pPr>
        <w:pStyle w:val="3"/>
        <w:spacing w:before="80" w:after="80" w:line="560" w:lineRule="exact"/>
        <w:ind w:firstLine="422" w:firstLineChars="150"/>
        <w:rPr>
          <w:rFonts w:ascii="黑体" w:hAnsi="黑体" w:eastAsia="黑体"/>
          <w:color w:val="000000" w:themeColor="text1"/>
          <w:sz w:val="28"/>
          <w:szCs w:val="28"/>
        </w:rPr>
      </w:pPr>
      <w:bookmarkStart w:id="34" w:name="_Toc453770915"/>
      <w:r>
        <w:rPr>
          <w:rFonts w:hint="eastAsia" w:ascii="黑体" w:hAnsi="黑体" w:eastAsia="黑体"/>
          <w:color w:val="000000" w:themeColor="text1"/>
          <w:sz w:val="28"/>
          <w:szCs w:val="28"/>
        </w:rPr>
        <w:t>（九）中国品牌展览会评选日程安排及任务分工</w:t>
      </w:r>
      <w:bookmarkEnd w:id="34"/>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1.评选规则及实施细则（以下简称细则）的制订</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(1)2016年5月份完成《细则》草案制订，并交夏季峰会讨论（厦门会展协会）；</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（2）2016年6月底之前完成《细则》完成方案的修订（厦门会展协会秘书处）；</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（3）2016年7月10日前发刊各城市会展协会执行（联盟秘书处）。</w:t>
      </w:r>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2.品牌展会宣传、自荐与评审</w:t>
      </w:r>
    </w:p>
    <w:p>
      <w:pPr>
        <w:ind w:firstLine="750" w:firstLineChars="250"/>
        <w:rPr>
          <w:rFonts w:ascii="仿宋" w:hAnsi="仿宋" w:eastAsia="仿宋"/>
          <w:color w:val="000000" w:themeColor="text1"/>
          <w:sz w:val="30"/>
          <w:szCs w:val="30"/>
        </w:rPr>
      </w:pPr>
      <w:r>
        <w:rPr>
          <w:rFonts w:hint="eastAsia" w:ascii="仿宋" w:hAnsi="仿宋" w:eastAsia="仿宋"/>
          <w:color w:val="000000" w:themeColor="text1"/>
          <w:sz w:val="30"/>
          <w:szCs w:val="30"/>
        </w:rPr>
        <w:t>(1)2016年7月-8月底各城市会展协会完成项目单位自荐（责任单位：各城市会展协会）；</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（2）2016年10月1日前完成品牌展会推荐工作（责任单位：各城市会展协会及管理机构）；</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（3）2016年10月20日前秘书处完成汇总、复审（联盟秘书处）；</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（4）2016年11月10日-13日完成评审工作（责任单位：联盟秘书处与重庆会展协会组织）。</w:t>
      </w:r>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3.专家委员会的组成</w:t>
      </w:r>
    </w:p>
    <w:p>
      <w:pPr>
        <w:pStyle w:val="26"/>
        <w:spacing w:line="319" w:lineRule="auto"/>
        <w:ind w:firstLine="549"/>
        <w:rPr>
          <w:rFonts w:ascii="仿宋" w:hAnsi="仿宋" w:eastAsia="仿宋" w:cstheme="minorBidi"/>
          <w:color w:val="000000" w:themeColor="text1"/>
          <w:sz w:val="30"/>
          <w:szCs w:val="30"/>
        </w:rPr>
      </w:pPr>
      <w:r>
        <w:rPr>
          <w:rFonts w:hint="eastAsia" w:ascii="仿宋" w:hAnsi="仿宋" w:eastAsia="仿宋" w:cstheme="minorBidi"/>
          <w:color w:val="000000" w:themeColor="text1"/>
          <w:sz w:val="30"/>
          <w:szCs w:val="30"/>
        </w:rPr>
        <w:t>2016年7月底之前完成品牌展览会评审委员会的组成（责任单位：联盟秘书处）</w:t>
      </w:r>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4.表彰筹备工作</w:t>
      </w:r>
    </w:p>
    <w:p>
      <w:pPr>
        <w:pStyle w:val="26"/>
        <w:spacing w:line="319" w:lineRule="auto"/>
        <w:ind w:firstLine="549"/>
        <w:rPr>
          <w:rFonts w:ascii="仿宋" w:hAnsi="仿宋" w:eastAsia="仿宋" w:cstheme="minorBidi"/>
          <w:color w:val="000000" w:themeColor="text1"/>
          <w:sz w:val="30"/>
          <w:szCs w:val="30"/>
        </w:rPr>
      </w:pPr>
      <w:r>
        <w:rPr>
          <w:rFonts w:hint="eastAsia" w:ascii="仿宋" w:hAnsi="仿宋" w:eastAsia="仿宋" w:cstheme="minorBidi"/>
          <w:color w:val="000000" w:themeColor="text1"/>
          <w:sz w:val="30"/>
          <w:szCs w:val="30"/>
        </w:rPr>
        <w:t>(1)2016年7月底之前，完成表彰大会工作方案的起草（责任单位：重庆会展协会、联盟秘书处）</w:t>
      </w:r>
    </w:p>
    <w:p>
      <w:pPr>
        <w:pStyle w:val="26"/>
        <w:spacing w:line="319" w:lineRule="auto"/>
        <w:ind w:firstLine="450" w:firstLineChars="150"/>
        <w:rPr>
          <w:rFonts w:ascii="仿宋" w:hAnsi="仿宋" w:eastAsia="仿宋" w:cstheme="minorBidi"/>
          <w:color w:val="000000" w:themeColor="text1"/>
          <w:sz w:val="30"/>
          <w:szCs w:val="30"/>
        </w:rPr>
      </w:pPr>
      <w:r>
        <w:rPr>
          <w:rFonts w:hint="eastAsia" w:ascii="仿宋" w:hAnsi="仿宋" w:eastAsia="仿宋" w:cstheme="minorBidi"/>
          <w:color w:val="000000" w:themeColor="text1"/>
          <w:sz w:val="30"/>
          <w:szCs w:val="30"/>
        </w:rPr>
        <w:t>（2）2016年8月底之前完成奖杯、标志的设计，提交常务理事会讨论确定（责任单位：联盟秘书处）</w:t>
      </w:r>
    </w:p>
    <w:p>
      <w:pPr>
        <w:pStyle w:val="26"/>
        <w:spacing w:line="319" w:lineRule="auto"/>
        <w:ind w:firstLine="450" w:firstLineChars="150"/>
        <w:rPr>
          <w:rFonts w:ascii="仿宋" w:hAnsi="仿宋" w:eastAsia="仿宋" w:cstheme="minorBidi"/>
          <w:color w:val="000000" w:themeColor="text1"/>
          <w:sz w:val="30"/>
          <w:szCs w:val="30"/>
        </w:rPr>
      </w:pPr>
      <w:r>
        <w:rPr>
          <w:rFonts w:hint="eastAsia" w:ascii="仿宋" w:hAnsi="仿宋" w:eastAsia="仿宋" w:cstheme="minorBidi"/>
          <w:color w:val="000000" w:themeColor="text1"/>
          <w:sz w:val="30"/>
          <w:szCs w:val="30"/>
        </w:rPr>
        <w:t>（3）2016年9月底之前完成资金的筹措（责任单位：重庆市会展协会）</w:t>
      </w:r>
    </w:p>
    <w:p>
      <w:pPr>
        <w:pStyle w:val="26"/>
        <w:spacing w:line="319" w:lineRule="auto"/>
        <w:ind w:firstLine="549"/>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5.宣传推广</w:t>
      </w:r>
    </w:p>
    <w:p>
      <w:pPr>
        <w:pStyle w:val="26"/>
        <w:spacing w:line="319" w:lineRule="auto"/>
        <w:ind w:firstLine="549"/>
        <w:rPr>
          <w:rFonts w:ascii="仿宋" w:hAnsi="仿宋" w:eastAsia="仿宋" w:cstheme="minorBidi"/>
          <w:color w:val="000000" w:themeColor="text1"/>
          <w:sz w:val="30"/>
          <w:szCs w:val="30"/>
        </w:rPr>
      </w:pPr>
      <w:r>
        <w:rPr>
          <w:rFonts w:hint="eastAsia" w:ascii="仿宋" w:hAnsi="仿宋" w:eastAsia="仿宋" w:cstheme="minorBidi"/>
          <w:color w:val="000000" w:themeColor="text1"/>
          <w:sz w:val="30"/>
          <w:szCs w:val="30"/>
        </w:rPr>
        <w:t>(1)2016年7月份起，联盟各成员单位在自有媒体和相关会议上全面宣传品牌展会评选活动，秘书处完成通稿的撰写。（责任单位：联盟秘书处、各城市会展协会）</w:t>
      </w:r>
    </w:p>
    <w:p>
      <w:pPr>
        <w:pStyle w:val="26"/>
        <w:spacing w:line="319" w:lineRule="auto"/>
        <w:ind w:firstLine="450" w:firstLineChars="150"/>
        <w:rPr>
          <w:rFonts w:ascii="仿宋" w:hAnsi="仿宋" w:eastAsia="仿宋" w:cstheme="minorBidi"/>
          <w:color w:val="000000" w:themeColor="text1"/>
          <w:sz w:val="30"/>
          <w:szCs w:val="30"/>
        </w:rPr>
      </w:pPr>
      <w:r>
        <w:rPr>
          <w:rFonts w:hint="eastAsia" w:ascii="仿宋" w:hAnsi="仿宋" w:eastAsia="仿宋" w:cstheme="minorBidi"/>
          <w:color w:val="000000" w:themeColor="text1"/>
          <w:sz w:val="30"/>
          <w:szCs w:val="30"/>
        </w:rPr>
        <w:t>（2）2016年10月、11月，在国内相关媒体上分阶段性进行宣传推广（责任单位：联盟秘书处）</w:t>
      </w:r>
    </w:p>
    <w:p>
      <w:pPr>
        <w:pStyle w:val="26"/>
        <w:spacing w:line="319" w:lineRule="auto"/>
        <w:ind w:firstLine="450" w:firstLineChars="150"/>
        <w:rPr>
          <w:rFonts w:ascii="仿宋" w:hAnsi="仿宋" w:eastAsia="仿宋" w:cstheme="minorBidi"/>
          <w:color w:val="000000" w:themeColor="text1"/>
          <w:sz w:val="30"/>
          <w:szCs w:val="30"/>
        </w:rPr>
      </w:pPr>
      <w:r>
        <w:rPr>
          <w:rFonts w:hint="eastAsia" w:ascii="仿宋" w:hAnsi="仿宋" w:eastAsia="仿宋" w:cstheme="minorBidi"/>
          <w:color w:val="000000" w:themeColor="text1"/>
          <w:sz w:val="30"/>
          <w:szCs w:val="30"/>
        </w:rPr>
        <w:t>（3）2016年12月表彰大会，邀请相关媒体与会报道（责任单位：重庆市会展协会、联盟秘书处）</w:t>
      </w:r>
    </w:p>
    <w:p>
      <w:pPr>
        <w:pStyle w:val="3"/>
        <w:spacing w:before="80" w:after="80" w:line="560" w:lineRule="exact"/>
        <w:ind w:firstLine="422" w:firstLineChars="150"/>
        <w:rPr>
          <w:rFonts w:ascii="黑体" w:hAnsi="黑体" w:eastAsia="黑体"/>
          <w:color w:val="000000" w:themeColor="text1"/>
          <w:sz w:val="28"/>
          <w:szCs w:val="28"/>
        </w:rPr>
      </w:pPr>
      <w:bookmarkStart w:id="35" w:name="_Toc450248311"/>
      <w:bookmarkStart w:id="36" w:name="_Toc451936179"/>
      <w:bookmarkStart w:id="37" w:name="_Toc453770916"/>
      <w:bookmarkStart w:id="38" w:name="_Toc449516336"/>
      <w:r>
        <w:rPr>
          <w:rFonts w:hint="eastAsia" w:ascii="黑体" w:hAnsi="黑体" w:eastAsia="黑体"/>
          <w:color w:val="000000" w:themeColor="text1"/>
          <w:sz w:val="28"/>
          <w:szCs w:val="28"/>
        </w:rPr>
        <w:t>（十）相关术语、数据解释</w:t>
      </w:r>
      <w:bookmarkEnd w:id="35"/>
      <w:bookmarkEnd w:id="36"/>
      <w:bookmarkEnd w:id="37"/>
      <w:bookmarkEnd w:id="38"/>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1.展览会的规模（面积、展位数）</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展览会的规模包括3个内容：一是展位数（3m*3m）；二是净面积（9m*展位数）；三是总面积（20m</w:t>
      </w:r>
      <w:r>
        <w:rPr>
          <w:rFonts w:hint="eastAsia" w:ascii="仿宋" w:hAnsi="华文仿宋" w:eastAsia="华文仿宋"/>
          <w:color w:val="000000" w:themeColor="text1"/>
          <w:sz w:val="30"/>
          <w:szCs w:val="30"/>
        </w:rPr>
        <w:t>²</w:t>
      </w:r>
      <w:r>
        <w:rPr>
          <w:rFonts w:hint="eastAsia" w:ascii="仿宋" w:hAnsi="仿宋" w:eastAsia="仿宋"/>
          <w:color w:val="000000" w:themeColor="text1"/>
          <w:sz w:val="30"/>
          <w:szCs w:val="30"/>
        </w:rPr>
        <w:t>*展位数）。</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2.展品与展览面积的吻合度</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吻合度是指展品是否与主题一致，以与主题相吻合的展位数与总展位数的比例来计算，最高吻合度为100%。精确到小数点后两位数。</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3.境外展位数与总展位数比</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境外展位数指中国大陆以外的境外企业（境外母公司直接参展或母公司授权并资助境内子公司、合资公司公司参展的视作境外展商）直接参展的展位数；总展位数比例，精确到小数点后两位数。</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4.境外展商国家地区数</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境外展商国家地区数系指展商来自中国大陆以外的国家和地区数，香港、澳门和台湾地区均算作境外地区。</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5.参展企业、参展人员总数</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参展企业总数系指展览会境内外参展企业的总和，同一企业在不同地区的展区携不同产品参展记作两家企业。</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参展人员总数系指以参展为目的的境内外企业的人员数量的总和。</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6.本市参展企业、参展人员数</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本市展商数系指本市范围内注册的企业（机构）数及参展人员的数量。</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7.省内其他城市参展企业、参展人员数</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省内其他城市展商数系指福建省之内，厦门市以外注册企业（机构）数及参展人员的数量。</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8.国内其他省、自治区、直辖市参展企业、参展人员数</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国内其他省、自治区、直辖市展商数系指中华人民共和国境内、福建省以外的展商数及人员数。</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9.专业观众人数</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专业买家（观众）人数系指以到展会进行技术、商品采购交易、投资合作洽谈为目的的境内外客商人数。</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10. 境外专业买家（观众）人数、境外专业买家总数比</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境外专业买家（观众）人数系指来自中国大陆以外的国家、地区的专业买家数量；境外专业买家比，系指境外专业买家占展会买家总人数的比例。</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11. 境外专业买家国家地区数</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境外专业观众（买家）国家地区数系指境外买家国籍所在国家和地区的数量。</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12. 观众总人次</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观众总人次系指展会全程专业和非专业人员进馆参观人/次数量的综合，一个观众每天进馆次数计1人/次。</w:t>
      </w:r>
    </w:p>
    <w:p>
      <w:pPr>
        <w:spacing w:line="360" w:lineRule="auto"/>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13. 参会媒体数、国家级媒体数</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参会媒体数是指到会注册报到媒体的数量。（一个记者也可以代表一家媒体，同一媒体的多位记者参加展会也计一家媒体）。</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国家级媒体数系指冠以中字头的媒体和主管单位为国家相关部、委、办、局的媒体。</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14. 境外媒体数、境外媒体国家地区数</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境外媒体系指来自中国大陆以外国家、地区的媒体数量；境外媒体国家、地区数系指境外媒体来自的国家和地区数量。</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15.特装面积数、特装面积与展会总面积比</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特装面积数系指标准展位制式布展以外的，具有独特风格的布展面积；</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特装面积比是指特装面积在总展览面积中的比例。</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16.绿色环保、节能节材特装数，绿色特装比</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绿色环保、节能节材特装数系指使用循环、节能、可降解材料作为布展材料的展位数；</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绿色特装比，系指绿色特装面积与特装总面积的比。</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17.展位（3m*3m）单价</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展位单价系指展览会单个国际标准展位的对外销售价格，以招展书标明的价格为准。</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18. 市场化率</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市场化率系指展会市场化运营收入与展会总收入比。</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19.论坛数量和规模</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论坛数量和规模系指在展览会期间举办的论坛、研讨会、说明会场次数量和参会的人数总和。同一名称和主题的论坛、研讨会，不管其举办时间为半天、一天或两天，均作为一个论坛计数。</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20.展商满意度（见表）</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展商满意度系指展览会展商调查表各项指标满意度的总和。</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21.客商满意度（见表）</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客商满意度系指展览会客商调查表各项指标满意度的总和。</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22.展览会规范性指标</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(1)按规定向相关部门报备、核准；</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(2)向公安消防部门报备、核准；</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(3)有知识产权保护措施：组展书有知识产权保护要求，在展厅设立知识产权保护投诉台；</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(4)设立专门网站、APP、建立网上报名和管理、查询系统；</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(5)布展方案报请消防部门核准，在展馆外显著位置设立报到、领证点；</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(6)在各展厅设立服务台，有展位示意图；</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(7)推广绿色设计搭建；</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(8)现场秩序和噪音控制好，有专人管理；</w:t>
      </w:r>
    </w:p>
    <w:p>
      <w:pPr>
        <w:tabs>
          <w:tab w:val="left" w:pos="567"/>
        </w:tabs>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(9)印制会刊或制作电子会刊。</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23.展览会规范性优良度</w:t>
      </w:r>
    </w:p>
    <w:p>
      <w:pPr>
        <w:spacing w:line="70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规范性指标9项中有8项达标算作优良。</w:t>
      </w:r>
    </w:p>
    <w:p>
      <w:pPr>
        <w:spacing w:line="700" w:lineRule="exact"/>
        <w:ind w:firstLine="562" w:firstLineChars="200"/>
        <w:rPr>
          <w:rFonts w:ascii="仿宋_GB2312" w:hAnsi="Times New Roman" w:eastAsia="仿宋_GB2312" w:cs="仿宋_GB2312"/>
          <w:b/>
          <w:bCs/>
          <w:color w:val="000000" w:themeColor="text1"/>
          <w:sz w:val="28"/>
          <w:szCs w:val="28"/>
        </w:rPr>
      </w:pPr>
      <w:r>
        <w:rPr>
          <w:rFonts w:hint="eastAsia" w:ascii="仿宋_GB2312" w:hAnsi="Times New Roman" w:eastAsia="仿宋_GB2312" w:cs="仿宋_GB2312"/>
          <w:b/>
          <w:bCs/>
          <w:color w:val="000000" w:themeColor="text1"/>
          <w:sz w:val="28"/>
          <w:szCs w:val="28"/>
        </w:rPr>
        <w:t>24.经贸类专业展览会</w:t>
      </w:r>
    </w:p>
    <w:p>
      <w:pPr>
        <w:widowControl/>
        <w:spacing w:line="700" w:lineRule="exact"/>
        <w:ind w:firstLine="600" w:firstLineChars="200"/>
        <w:jc w:val="left"/>
        <w:rPr>
          <w:rFonts w:ascii="仿宋" w:hAnsi="仿宋" w:eastAsia="仿宋"/>
          <w:color w:val="000000" w:themeColor="text1"/>
          <w:szCs w:val="21"/>
        </w:rPr>
      </w:pPr>
      <w:r>
        <w:rPr>
          <w:rFonts w:hint="eastAsia" w:ascii="仿宋" w:hAnsi="仿宋" w:eastAsia="仿宋"/>
          <w:color w:val="000000" w:themeColor="text1"/>
          <w:sz w:val="30"/>
          <w:szCs w:val="30"/>
        </w:rPr>
        <w:t>由政府、行业协会、企业举办的行业性经济、技术、投资类交易会、博览会和洽谈会。</w:t>
      </w:r>
      <w:bookmarkStart w:id="39" w:name="_Toc451936180"/>
    </w:p>
    <w:p>
      <w:pPr>
        <w:pStyle w:val="2"/>
        <w:rPr>
          <w:rFonts w:ascii="宋体" w:hAnsi="宋体" w:eastAsia="宋体"/>
          <w:color w:val="000000" w:themeColor="text1"/>
          <w:sz w:val="32"/>
          <w:szCs w:val="32"/>
        </w:rPr>
      </w:pPr>
      <w:bookmarkStart w:id="40" w:name="_Toc453770917"/>
      <w:r>
        <w:rPr>
          <w:rFonts w:hint="eastAsia" w:ascii="宋体" w:hAnsi="宋体" w:eastAsia="宋体"/>
          <w:color w:val="000000" w:themeColor="text1"/>
          <w:sz w:val="32"/>
          <w:szCs w:val="32"/>
        </w:rPr>
        <w:t>二、行业分类</w:t>
      </w:r>
      <w:bookmarkEnd w:id="39"/>
      <w:bookmarkEnd w:id="40"/>
    </w:p>
    <w:p>
      <w:pPr>
        <w:pStyle w:val="3"/>
        <w:spacing w:before="80" w:after="80" w:line="560" w:lineRule="exact"/>
        <w:ind w:right="-340" w:rightChars="-162"/>
        <w:rPr>
          <w:rFonts w:ascii="黑体" w:hAnsi="黑体" w:eastAsia="黑体"/>
          <w:color w:val="000000" w:themeColor="text1"/>
          <w:kern w:val="0"/>
          <w:sz w:val="28"/>
          <w:szCs w:val="28"/>
        </w:rPr>
      </w:pPr>
      <w:bookmarkStart w:id="41" w:name="_Toc451936181"/>
      <w:bookmarkStart w:id="42" w:name="_Toc453770918"/>
      <w:r>
        <w:rPr>
          <w:rFonts w:hint="eastAsia" w:ascii="黑体" w:hAnsi="黑体" w:eastAsia="黑体"/>
          <w:color w:val="000000" w:themeColor="text1"/>
          <w:sz w:val="28"/>
          <w:szCs w:val="28"/>
        </w:rPr>
        <w:t>（一）</w:t>
      </w:r>
      <w:r>
        <w:rPr>
          <w:rFonts w:hint="eastAsia" w:ascii="黑体" w:hAnsi="黑体" w:eastAsia="黑体"/>
          <w:color w:val="000000" w:themeColor="text1"/>
          <w:kern w:val="0"/>
          <w:sz w:val="28"/>
          <w:szCs w:val="28"/>
        </w:rPr>
        <w:t>中国经贸类专业展览会行业分类与国民经济产业分类对应表</w:t>
      </w:r>
      <w:bookmarkEnd w:id="41"/>
      <w:bookmarkEnd w:id="42"/>
    </w:p>
    <w:p>
      <w:pPr>
        <w:rPr>
          <w:color w:val="000000" w:themeColor="text1"/>
        </w:rPr>
      </w:pPr>
    </w:p>
    <w:tbl>
      <w:tblPr>
        <w:tblStyle w:val="15"/>
        <w:tblW w:w="8800" w:type="dxa"/>
        <w:tblInd w:w="0" w:type="dxa"/>
        <w:tblLayout w:type="fixed"/>
        <w:tblCellMar>
          <w:top w:w="0" w:type="dxa"/>
          <w:left w:w="108" w:type="dxa"/>
          <w:bottom w:w="0" w:type="dxa"/>
          <w:right w:w="108" w:type="dxa"/>
        </w:tblCellMar>
      </w:tblPr>
      <w:tblGrid>
        <w:gridCol w:w="660"/>
        <w:gridCol w:w="1800"/>
        <w:gridCol w:w="880"/>
        <w:gridCol w:w="1160"/>
        <w:gridCol w:w="4300"/>
      </w:tblGrid>
      <w:tr>
        <w:tblPrEx>
          <w:tblLayout w:type="fixed"/>
          <w:tblCellMar>
            <w:top w:w="0" w:type="dxa"/>
            <w:left w:w="108" w:type="dxa"/>
            <w:bottom w:w="0" w:type="dxa"/>
            <w:right w:w="108" w:type="dxa"/>
          </w:tblCellMar>
        </w:tblPrEx>
        <w:trPr>
          <w:trHeight w:val="340"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序号</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展会行业</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产业</w:t>
            </w:r>
          </w:p>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门类</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产业大类</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类别名称</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茶业</w:t>
            </w:r>
          </w:p>
        </w:tc>
        <w:tc>
          <w:tcPr>
            <w:tcW w:w="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A</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01</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农业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宠物</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05</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农、林、牧、渔服务业（畜牧服务业）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绿色有机</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01</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农业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农产品</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05</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农、林、牧、渔服务业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肉类工业</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05</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农、林、牧、渔服务业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畜牧业</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03</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畜牧业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渔业</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04</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渔业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园林景观</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02</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林业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植物花卉</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01</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农业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矿业</w:t>
            </w:r>
          </w:p>
        </w:tc>
        <w:tc>
          <w:tcPr>
            <w:tcW w:w="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B</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　</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采矿业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煤炭</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06</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采矿业（煤炭开采和洗选业）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12</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石材</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非金属矿采选业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13</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石油石化天然气</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07</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石油和天然气开采</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14</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办公用品</w:t>
            </w:r>
          </w:p>
        </w:tc>
        <w:tc>
          <w:tcPr>
            <w:tcW w:w="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C</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23</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文教体育用品制造业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15</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泵阀</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34</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通用设备制造业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16</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表面处理</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30</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非金属矿物制造业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17</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测绘仪器</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39</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仪器仪表制造业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18</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车展</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36</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交通运输设备制造业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19</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厨卫</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20</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家具制造业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20</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电池</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37</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电气机械及器材制造业(电池制造)</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21</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电动车自行车</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36</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交通运输设备制造</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22</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电机</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37</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电气机械及器材制造业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23</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电力电工</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37</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电气机械及器材制造业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24</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电线电缆</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37</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电气机械及器材制造业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25</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电子展</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38</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通信设备、计算机及其他电子设备制造业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26</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动力传动</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34</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通用设备制造业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27</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纺织纺机</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16</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纺织业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28</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分析仪器</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39</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仪器制造</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29</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服装配饰</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40</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工艺品制造</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30</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工业仪器</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39</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仪器制造</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31</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工业制造</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　</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32</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管材</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33</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金属制品业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33</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光电</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38</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通信设备、计算机及其他电子设备制造业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34</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轨道智能交通</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36</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交通运输设备制造业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35</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烘焙烘烤</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13</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食品业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36</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红木家具</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20</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家具制造业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37</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化工</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25</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化学原料及化学制品制造业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38</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机床模具</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35</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专用设备制造业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39</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机械装备</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34</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通用设备制造业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40</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激光</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38</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通信设备、计算机及其他电子设备制造业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41</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集成电路</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38</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通信设备、计算机及其他电子设备制造业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42</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家居博览会</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20</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家具制造业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43</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家具</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20</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家具制造业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44</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胶粘</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25</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化学原料及化学制品</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45</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金属材料</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33</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金属制品业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46</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科学仪器</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39</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仪器仪表制造业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47</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口腔器材</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35</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专用设备制造业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48</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LED</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38</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通信设备、计算机及其他电子设备制造业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49</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模型玩具</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23</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文教体育用品制造业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50</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摩托车</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36</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交通运输设备制造</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51</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木工机械</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35</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专用设备制造业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52</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农机</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35</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专用设备制造业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53</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暖通制冷</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34</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通用设备制造业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54</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皮革</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18</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皮革、毛皮、羽毛(绒)及其制品业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55</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汽车用品</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36</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交通运输设备制造</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56</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汽车制造</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36</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交通运输设备制造</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57</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热处理</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34</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通用设备制造业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58</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食品饮料</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13、14</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食品饮料制造业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59</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视听集成</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38</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通信设备、计算机及其他电子设备制造业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60</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手机</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38</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通信设备、计算机及其他电子设备制造业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61</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水处理</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44</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水的生产和供应业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62</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丝绸</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16</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纺织业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63</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塑料橡胶工业</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28</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橡胶制品业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64</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陶瓷</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30</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非金属矿物制造业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65</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体育用品</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22</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文教体育用品制造业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66</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调味品添加剂</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13</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食品制造业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67</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橡胶轮胎</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28</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橡胶制品业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68</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消费电子</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38</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通信设备、计算机及其他电子设备制造业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69</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鞋业</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17</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纺织服装、鞋、帽制品业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70</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眼镜</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27</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化学纤维制造业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71</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药品</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26</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医药制造业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72</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冶金</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32</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有色金属冶炼及压延加工业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73</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医疗器械</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35</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专用设备制造业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74</w:t>
            </w:r>
          </w:p>
        </w:tc>
        <w:tc>
          <w:tcPr>
            <w:tcW w:w="1800"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医药</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26</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医药制造业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75</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印刷</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22</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印刷业和记录没接的复制</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76</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游艇</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36</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交通运输设备制造</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77</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游戏</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23</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文教体育用品制造业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78</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乐器</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23</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文教体育用品制造业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79</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制药机械原料</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26</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医药制造业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珠宝</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40</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工艺品及其他制造</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81</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装备制造</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34</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通用设备制造业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82</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太阳能光伏</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D</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42</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电力、热力的生产和供应业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83</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照明</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42</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电力、热力的生产和供应业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84</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家装</w:t>
            </w:r>
          </w:p>
        </w:tc>
        <w:tc>
          <w:tcPr>
            <w:tcW w:w="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E</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46</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建筑安装业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85</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建筑建材</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48</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其他建筑业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86</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门窗墙幕</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46</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建筑安装业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87</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智能建筑</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47</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建筑装饰业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88</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航空航天</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F</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53</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航空运输业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89</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物流</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　</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交通运输、仓储、邮政业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90</w:t>
            </w:r>
          </w:p>
        </w:tc>
        <w:tc>
          <w:tcPr>
            <w:tcW w:w="180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信息科技</w:t>
            </w:r>
          </w:p>
        </w:tc>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G</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58</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电信和其他信息传输服务业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91</w:t>
            </w:r>
          </w:p>
        </w:tc>
        <w:tc>
          <w:tcPr>
            <w:tcW w:w="180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商品交易</w:t>
            </w:r>
          </w:p>
        </w:tc>
        <w:tc>
          <w:tcPr>
            <w:tcW w:w="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H</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61</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批发业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92</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奢侈品</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61</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批发业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93</w:t>
            </w:r>
          </w:p>
        </w:tc>
        <w:tc>
          <w:tcPr>
            <w:tcW w:w="180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五金展</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61</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批发业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94</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房交会</w:t>
            </w:r>
          </w:p>
        </w:tc>
        <w:tc>
          <w:tcPr>
            <w:tcW w:w="88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K</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69</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房地产业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95</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包装</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L</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71</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商务服务业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96</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广告设备</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71</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商务服务（广告业）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97</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投资贸易</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71</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商务服务业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98</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生物科技</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M</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72</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研究与试验发展</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99</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社会公共安全</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N</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78</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公共设施管理业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安全防护</w:t>
            </w: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O</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101</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户外休闲</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102</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婚博会</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79</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居民服务业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103</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加盟连锁</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104</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家电</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105</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健康产业</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106</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节能环保</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107</w:t>
            </w:r>
          </w:p>
        </w:tc>
        <w:tc>
          <w:tcPr>
            <w:tcW w:w="1800"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酒店用品</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108</w:t>
            </w:r>
          </w:p>
        </w:tc>
        <w:tc>
          <w:tcPr>
            <w:tcW w:w="1800"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礼品</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其他服务业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109</w:t>
            </w:r>
          </w:p>
        </w:tc>
        <w:tc>
          <w:tcPr>
            <w:tcW w:w="180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旅游产业</w:t>
            </w: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110</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美容美发</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79</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居民服务业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111</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特许加盟</w:t>
            </w: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80</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其他服务业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112</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教育展</w:t>
            </w:r>
          </w:p>
        </w:tc>
        <w:tc>
          <w:tcPr>
            <w:tcW w:w="880"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P</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81</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教育</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113</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应急减灾</w:t>
            </w:r>
          </w:p>
        </w:tc>
        <w:tc>
          <w:tcPr>
            <w:tcW w:w="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Q</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83</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社会保障业</w:t>
            </w:r>
          </w:p>
        </w:tc>
      </w:tr>
      <w:tr>
        <w:tblPrEx>
          <w:tblLayout w:type="fixed"/>
          <w:tblCellMar>
            <w:top w:w="0" w:type="dxa"/>
            <w:left w:w="108" w:type="dxa"/>
            <w:bottom w:w="0" w:type="dxa"/>
            <w:right w:w="108" w:type="dxa"/>
          </w:tblCellMar>
        </w:tblPrEx>
        <w:trPr>
          <w:trHeight w:val="397"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114</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孕婴童</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84</w:t>
            </w:r>
          </w:p>
        </w:tc>
        <w:tc>
          <w:tcPr>
            <w:tcW w:w="4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社会福利业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115</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佛事用品</w:t>
            </w:r>
          </w:p>
        </w:tc>
        <w:tc>
          <w:tcPr>
            <w:tcW w:w="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R</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87</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文化艺术业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116</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图书</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87</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文化艺术业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117</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文化产业</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87</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文化艺术业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118</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休闲娱乐</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89</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娱乐业</w:t>
            </w:r>
          </w:p>
        </w:tc>
      </w:tr>
      <w:tr>
        <w:tblPrEx>
          <w:tblLayout w:type="fixed"/>
          <w:tblCellMar>
            <w:top w:w="0" w:type="dxa"/>
            <w:left w:w="108" w:type="dxa"/>
            <w:bottom w:w="0" w:type="dxa"/>
            <w:right w:w="108" w:type="dxa"/>
          </w:tblCellMar>
        </w:tblPrEx>
        <w:trPr>
          <w:trHeight w:val="397"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119</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艺术品</w:t>
            </w: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themeColor="text1"/>
                <w:kern w:val="0"/>
                <w:sz w:val="20"/>
                <w:szCs w:val="20"/>
              </w:rPr>
            </w:pP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87</w:t>
            </w:r>
          </w:p>
        </w:tc>
        <w:tc>
          <w:tcPr>
            <w:tcW w:w="4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文化艺术业</w:t>
            </w:r>
          </w:p>
        </w:tc>
      </w:tr>
    </w:tbl>
    <w:p>
      <w:pPr>
        <w:widowControl/>
        <w:jc w:val="left"/>
        <w:rPr>
          <w:rFonts w:ascii="仿宋" w:hAnsi="仿宋" w:eastAsia="仿宋"/>
          <w:color w:val="000000" w:themeColor="text1"/>
          <w:szCs w:val="21"/>
        </w:rPr>
      </w:pPr>
      <w:bookmarkStart w:id="43" w:name="_Toc451936182"/>
    </w:p>
    <w:p>
      <w:pPr>
        <w:pStyle w:val="3"/>
        <w:spacing w:before="80" w:after="80" w:line="560" w:lineRule="exact"/>
        <w:ind w:firstLine="422" w:firstLineChars="150"/>
        <w:rPr>
          <w:rFonts w:ascii="黑体" w:hAnsi="黑体" w:eastAsia="黑体"/>
          <w:color w:val="000000" w:themeColor="text1"/>
          <w:sz w:val="28"/>
          <w:szCs w:val="28"/>
        </w:rPr>
      </w:pPr>
      <w:bookmarkStart w:id="44" w:name="_Toc453770919"/>
      <w:r>
        <w:rPr>
          <w:rFonts w:hint="eastAsia" w:ascii="黑体" w:hAnsi="黑体" w:eastAsia="黑体"/>
          <w:color w:val="000000" w:themeColor="text1"/>
          <w:sz w:val="28"/>
          <w:szCs w:val="28"/>
        </w:rPr>
        <w:t>（二）中国经贸类专业展览会行业分类与国民经济产业分类对应表说明</w:t>
      </w:r>
      <w:bookmarkEnd w:id="44"/>
    </w:p>
    <w:p>
      <w:pPr>
        <w:spacing w:line="620" w:lineRule="exact"/>
        <w:rPr>
          <w:rFonts w:ascii="仿宋" w:hAnsi="仿宋" w:eastAsia="仿宋"/>
          <w:color w:val="000000" w:themeColor="text1"/>
          <w:sz w:val="30"/>
          <w:szCs w:val="30"/>
        </w:rPr>
      </w:pPr>
      <w:r>
        <w:rPr>
          <w:rFonts w:hint="eastAsia"/>
          <w:color w:val="000000" w:themeColor="text1"/>
        </w:rPr>
        <w:t xml:space="preserve">     </w:t>
      </w:r>
      <w:r>
        <w:rPr>
          <w:rFonts w:hint="eastAsia" w:ascii="仿宋" w:hAnsi="仿宋" w:eastAsia="仿宋"/>
          <w:color w:val="000000" w:themeColor="text1"/>
          <w:sz w:val="30"/>
          <w:szCs w:val="30"/>
        </w:rPr>
        <w:t>根据国家统计局2014年的年鉴界定，我国国民经济共分为20个产业门类，98个产业大类，作为国民经济统计的分类依据。由于展览业是一个跨行业、跨部门的产业，对展览的分类难以进行严格地分类。根据近几年各地和相关研究机构的文献和我们对我国经贸类展览会的研究，将经贸类展览会归纳为119个行业，虽然不尽完善，也可成一家之言。为了各地统计、研究以及推荐品牌展会的便利，编制了中国经贸类专业展览会行业分类与国民经济产业分类对应表，据统计，我国目前119个展览行业共涉及国民经济16个产业门类，49个产业大类。由于时间短，水平有限，错误在所难免，故该对应表仅供联盟内部参考。</w:t>
      </w:r>
    </w:p>
    <w:p>
      <w:pPr>
        <w:pStyle w:val="2"/>
        <w:rPr>
          <w:rFonts w:ascii="宋体" w:hAnsi="宋体" w:eastAsia="宋体"/>
          <w:color w:val="000000" w:themeColor="text1"/>
          <w:sz w:val="32"/>
          <w:szCs w:val="32"/>
        </w:rPr>
      </w:pPr>
      <w:bookmarkStart w:id="45" w:name="_Toc453770920"/>
      <w:r>
        <w:rPr>
          <w:rFonts w:hint="eastAsia" w:ascii="宋体" w:hAnsi="宋体" w:eastAsia="宋体"/>
          <w:color w:val="000000" w:themeColor="text1"/>
          <w:sz w:val="32"/>
          <w:szCs w:val="32"/>
        </w:rPr>
        <w:t>三、附件</w:t>
      </w:r>
      <w:bookmarkEnd w:id="43"/>
      <w:bookmarkEnd w:id="45"/>
    </w:p>
    <w:p>
      <w:pPr>
        <w:pStyle w:val="3"/>
        <w:spacing w:before="80" w:after="80" w:line="280" w:lineRule="exact"/>
        <w:ind w:firstLine="422" w:firstLineChars="150"/>
        <w:rPr>
          <w:rFonts w:ascii="黑体" w:hAnsi="黑体" w:eastAsia="黑体"/>
          <w:color w:val="000000" w:themeColor="text1"/>
          <w:sz w:val="28"/>
          <w:szCs w:val="28"/>
        </w:rPr>
      </w:pPr>
      <w:bookmarkStart w:id="46" w:name="_Toc451936183"/>
      <w:bookmarkStart w:id="47" w:name="_Toc453770921"/>
      <w:r>
        <w:rPr>
          <w:rFonts w:hint="eastAsia" w:ascii="黑体" w:hAnsi="黑体" w:eastAsia="黑体"/>
          <w:color w:val="000000" w:themeColor="text1"/>
          <w:sz w:val="28"/>
          <w:szCs w:val="28"/>
        </w:rPr>
        <w:t>（一）中国品牌展览会分值表</w:t>
      </w:r>
      <w:bookmarkEnd w:id="46"/>
      <w:bookmarkEnd w:id="47"/>
    </w:p>
    <w:p>
      <w:pPr>
        <w:spacing w:line="280" w:lineRule="exact"/>
        <w:jc w:val="center"/>
        <w:rPr>
          <w:rFonts w:asciiTheme="minorEastAsia" w:hAnsiTheme="minorEastAsia"/>
          <w:color w:val="000000" w:themeColor="text1"/>
          <w:sz w:val="10"/>
          <w:szCs w:val="10"/>
        </w:rPr>
      </w:pPr>
    </w:p>
    <w:tbl>
      <w:tblPr>
        <w:tblStyle w:val="15"/>
        <w:tblW w:w="8429" w:type="dxa"/>
        <w:tblInd w:w="93" w:type="dxa"/>
        <w:tblLayout w:type="fixed"/>
        <w:tblCellMar>
          <w:top w:w="0" w:type="dxa"/>
          <w:left w:w="108" w:type="dxa"/>
          <w:bottom w:w="0" w:type="dxa"/>
          <w:right w:w="108" w:type="dxa"/>
        </w:tblCellMar>
      </w:tblPr>
      <w:tblGrid>
        <w:gridCol w:w="436"/>
        <w:gridCol w:w="1391"/>
        <w:gridCol w:w="456"/>
        <w:gridCol w:w="3119"/>
        <w:gridCol w:w="709"/>
        <w:gridCol w:w="2318"/>
      </w:tblGrid>
      <w:tr>
        <w:tblPrEx>
          <w:tblLayout w:type="fixed"/>
          <w:tblCellMar>
            <w:top w:w="0" w:type="dxa"/>
            <w:left w:w="108" w:type="dxa"/>
            <w:bottom w:w="0" w:type="dxa"/>
            <w:right w:w="108" w:type="dxa"/>
          </w:tblCellMar>
        </w:tblPrEx>
        <w:trPr>
          <w:trHeight w:val="714" w:hRule="exact"/>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序号</w:t>
            </w: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类别</w:t>
            </w:r>
          </w:p>
        </w:tc>
        <w:tc>
          <w:tcPr>
            <w:tcW w:w="456"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总分</w:t>
            </w:r>
          </w:p>
        </w:tc>
        <w:tc>
          <w:tcPr>
            <w:tcW w:w="3119"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分类内容</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分类     分值</w:t>
            </w:r>
          </w:p>
        </w:tc>
        <w:tc>
          <w:tcPr>
            <w:tcW w:w="2318"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备注</w:t>
            </w:r>
          </w:p>
        </w:tc>
      </w:tr>
      <w:tr>
        <w:tblPrEx>
          <w:tblLayout w:type="fixed"/>
          <w:tblCellMar>
            <w:top w:w="0" w:type="dxa"/>
            <w:left w:w="108" w:type="dxa"/>
            <w:bottom w:w="0" w:type="dxa"/>
            <w:right w:w="108" w:type="dxa"/>
          </w:tblCellMar>
        </w:tblPrEx>
        <w:trPr>
          <w:trHeight w:val="340" w:hRule="exact"/>
        </w:trPr>
        <w:tc>
          <w:tcPr>
            <w:tcW w:w="4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w:t>
            </w:r>
          </w:p>
        </w:tc>
        <w:tc>
          <w:tcPr>
            <w:tcW w:w="139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年限</w:t>
            </w: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举办时间10年以上</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2318" w:type="dxa"/>
            <w:vMerge w:val="restart"/>
            <w:tcBorders>
              <w:top w:val="nil"/>
              <w:left w:val="single" w:color="auto" w:sz="4" w:space="0"/>
              <w:bottom w:val="single" w:color="000000" w:sz="4" w:space="0"/>
              <w:right w:val="single" w:color="auto" w:sz="4" w:space="0"/>
            </w:tcBorders>
            <w:shd w:val="clear" w:color="auto" w:fill="auto"/>
          </w:tcPr>
          <w:p>
            <w:pPr>
              <w:jc w:val="left"/>
              <w:rPr>
                <w:rFonts w:cs="宋体" w:asciiTheme="minorEastAsia" w:hAnsiTheme="minorEastAsia"/>
                <w:color w:val="000000" w:themeColor="text1"/>
                <w:sz w:val="18"/>
                <w:szCs w:val="18"/>
              </w:rPr>
            </w:pPr>
            <w:r>
              <w:rPr>
                <w:rFonts w:hint="eastAsia" w:cs="宋体" w:asciiTheme="minorEastAsia" w:hAnsiTheme="minorEastAsia"/>
                <w:b/>
                <w:bCs/>
                <w:color w:val="000000" w:themeColor="text1"/>
                <w:sz w:val="18"/>
                <w:szCs w:val="18"/>
              </w:rPr>
              <w:t>1、</w:t>
            </w:r>
            <w:r>
              <w:rPr>
                <w:rFonts w:hint="eastAsia" w:cs="宋体" w:asciiTheme="minorEastAsia" w:hAnsiTheme="minorEastAsia"/>
                <w:color w:val="000000" w:themeColor="text1"/>
                <w:sz w:val="18"/>
                <w:szCs w:val="18"/>
              </w:rPr>
              <w:t xml:space="preserve">品牌展会分值按100分制计算分值，但设有加分机制，对重点不同类别实行加分，上不封顶，品牌展会得分可以超过100分。                                        </w:t>
            </w:r>
            <w:r>
              <w:rPr>
                <w:rFonts w:hint="eastAsia" w:cs="宋体" w:asciiTheme="minorEastAsia" w:hAnsiTheme="minorEastAsia"/>
                <w:b/>
                <w:bCs/>
                <w:color w:val="000000" w:themeColor="text1"/>
                <w:sz w:val="18"/>
                <w:szCs w:val="18"/>
              </w:rPr>
              <w:t>2、</w:t>
            </w:r>
            <w:r>
              <w:rPr>
                <w:rFonts w:hint="eastAsia" w:cs="宋体" w:asciiTheme="minorEastAsia" w:hAnsiTheme="minorEastAsia"/>
                <w:color w:val="000000" w:themeColor="text1"/>
                <w:sz w:val="18"/>
                <w:szCs w:val="18"/>
              </w:rPr>
              <w:t>展会举办时间10年以上，每增加5年加1分，上不封顶。</w:t>
            </w:r>
          </w:p>
          <w:p>
            <w:pPr>
              <w:jc w:val="left"/>
              <w:rPr>
                <w:rFonts w:cs="宋体" w:asciiTheme="minorEastAsia" w:hAnsiTheme="minorEastAsia"/>
                <w:color w:val="000000" w:themeColor="text1"/>
                <w:sz w:val="18"/>
                <w:szCs w:val="18"/>
              </w:rPr>
            </w:pPr>
            <w:r>
              <w:rPr>
                <w:rFonts w:hint="eastAsia" w:cs="宋体" w:asciiTheme="minorEastAsia" w:hAnsiTheme="minorEastAsia"/>
                <w:b/>
                <w:bCs/>
                <w:color w:val="000000" w:themeColor="text1"/>
                <w:sz w:val="18"/>
                <w:szCs w:val="18"/>
              </w:rPr>
              <w:t>3、</w:t>
            </w:r>
            <w:r>
              <w:rPr>
                <w:rFonts w:hint="eastAsia" w:cs="宋体" w:asciiTheme="minorEastAsia" w:hAnsiTheme="minorEastAsia"/>
                <w:color w:val="000000" w:themeColor="text1"/>
                <w:sz w:val="18"/>
                <w:szCs w:val="18"/>
              </w:rPr>
              <w:t xml:space="preserve">境外参展国家和地区数每增加5个国家和地区加1分，上不封顶。          </w:t>
            </w:r>
            <w:r>
              <w:rPr>
                <w:rFonts w:hint="eastAsia" w:cs="宋体" w:asciiTheme="minorEastAsia" w:hAnsiTheme="minorEastAsia"/>
                <w:b/>
                <w:bCs/>
                <w:color w:val="000000" w:themeColor="text1"/>
                <w:sz w:val="18"/>
                <w:szCs w:val="18"/>
              </w:rPr>
              <w:t>4、</w:t>
            </w:r>
            <w:r>
              <w:rPr>
                <w:rFonts w:hint="eastAsia" w:cs="宋体" w:asciiTheme="minorEastAsia" w:hAnsiTheme="minorEastAsia"/>
                <w:color w:val="000000" w:themeColor="text1"/>
                <w:sz w:val="18"/>
                <w:szCs w:val="18"/>
              </w:rPr>
              <w:t>政府主导类展会市场筹资和市场化运营达到50%得满分，提升10%以上加1分。</w:t>
            </w:r>
          </w:p>
          <w:p>
            <w:pPr>
              <w:jc w:val="left"/>
              <w:rPr>
                <w:rFonts w:cs="宋体" w:asciiTheme="minorEastAsia" w:hAnsiTheme="minorEastAsia"/>
                <w:color w:val="000000" w:themeColor="text1"/>
                <w:sz w:val="18"/>
                <w:szCs w:val="18"/>
              </w:rPr>
            </w:pPr>
            <w:r>
              <w:rPr>
                <w:rFonts w:hint="eastAsia" w:cs="宋体" w:asciiTheme="minorEastAsia" w:hAnsiTheme="minorEastAsia"/>
                <w:b/>
                <w:bCs/>
                <w:color w:val="000000" w:themeColor="text1"/>
                <w:sz w:val="18"/>
                <w:szCs w:val="18"/>
              </w:rPr>
              <w:t>5、</w:t>
            </w:r>
            <w:r>
              <w:rPr>
                <w:rFonts w:hint="eastAsia" w:cs="宋体" w:asciiTheme="minorEastAsia" w:hAnsiTheme="minorEastAsia"/>
                <w:color w:val="000000" w:themeColor="text1"/>
                <w:sz w:val="18"/>
                <w:szCs w:val="18"/>
              </w:rPr>
              <w:t xml:space="preserve">社会影响力分：     </w:t>
            </w:r>
          </w:p>
          <w:p>
            <w:pP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 xml:space="preserve">（1）论坛研讨会数量10场以上得1分，20场以上得1.5分；   </w:t>
            </w:r>
          </w:p>
          <w:p>
            <w:pPr>
              <w:jc w:val="left"/>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 xml:space="preserve">（2）院士、全国性行业领袖、省部级领导参会得1分；      </w:t>
            </w:r>
          </w:p>
          <w:p>
            <w:pPr>
              <w:jc w:val="left"/>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 xml:space="preserve">（3）境外媒体5家以上参会得1分；      </w:t>
            </w:r>
          </w:p>
          <w:p>
            <w:pP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（4）国家级媒体5家以上得1分，每增加10家加10分，上不封顶。</w:t>
            </w: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举办时间15年以上20年以下</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11</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139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规模</w:t>
            </w: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20</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全球同类展览面积规模第1名</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20</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全球同类展览面积规模第2名</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19</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全球同类展览面积规模第3名</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18</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全球同类展览面积规模第4名</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17</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全球同类展览面积规模第5名</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16</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3</w:t>
            </w:r>
          </w:p>
        </w:tc>
        <w:tc>
          <w:tcPr>
            <w:tcW w:w="139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专业性</w:t>
            </w:r>
          </w:p>
        </w:tc>
        <w:tc>
          <w:tcPr>
            <w:tcW w:w="45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专业化率百分之百（100%）</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4</w:t>
            </w:r>
          </w:p>
        </w:tc>
        <w:tc>
          <w:tcPr>
            <w:tcW w:w="139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国际性</w:t>
            </w: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20</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参展国家、地区5个以上</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境外展位占总展位20%以上</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境外客商国家、地区数在5个以上</w:t>
            </w:r>
          </w:p>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（每增五个加1分）分</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境外客商比占专业客商5%以上</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139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市场性</w:t>
            </w: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百分之百由市场化筹资与运营</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政府主导类展会市场化率达50%</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6</w:t>
            </w:r>
          </w:p>
        </w:tc>
        <w:tc>
          <w:tcPr>
            <w:tcW w:w="139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知识产权保护</w:t>
            </w: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组展书有知识产权保护要求</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展会现场设立知识产权投诉点</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展会未发生商品侵权问题</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3</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7</w:t>
            </w:r>
          </w:p>
        </w:tc>
        <w:tc>
          <w:tcPr>
            <w:tcW w:w="139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信息化建设</w:t>
            </w: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设立双语或多语官方网站</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实现网上报名参展、参会、办证</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设立移动APP与客户端</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8</w:t>
            </w:r>
          </w:p>
        </w:tc>
        <w:tc>
          <w:tcPr>
            <w:tcW w:w="139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规范化建设</w:t>
            </w: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按规定向商务部报备核准</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0.5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按规定向公安部门报备核准</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0.5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布展方案经消防部门核准</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0.5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各展厅设立服务台和展位示意图</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0.5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现场秩序好、噪音控制好</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0.5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印制纸质会刊或制作电子会刊</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0.5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5年以上无安全事故（重伤、死人）</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9</w:t>
            </w:r>
          </w:p>
        </w:tc>
        <w:tc>
          <w:tcPr>
            <w:tcW w:w="139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绿色展装</w:t>
            </w: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有绿色展装要求</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绿色展装率达80%</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3</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139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客商满意度</w:t>
            </w:r>
          </w:p>
        </w:tc>
        <w:tc>
          <w:tcPr>
            <w:tcW w:w="45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客商综合满意度90%以上</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11</w:t>
            </w:r>
          </w:p>
        </w:tc>
        <w:tc>
          <w:tcPr>
            <w:tcW w:w="139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展商满意度</w:t>
            </w:r>
          </w:p>
        </w:tc>
        <w:tc>
          <w:tcPr>
            <w:tcW w:w="456"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展商综合满意度90%以上</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12</w:t>
            </w:r>
          </w:p>
        </w:tc>
        <w:tc>
          <w:tcPr>
            <w:tcW w:w="139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社会影响力</w:t>
            </w: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1.论坛、研讨数10场以上；                        2.院士、行业领袖、省部级参会</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0" w:hRule="exact"/>
        </w:trPr>
        <w:tc>
          <w:tcPr>
            <w:tcW w:w="43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1391"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456"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color w:val="000000" w:themeColor="text1"/>
                <w:sz w:val="18"/>
                <w:szCs w:val="18"/>
              </w:rPr>
            </w:pPr>
          </w:p>
        </w:tc>
        <w:tc>
          <w:tcPr>
            <w:tcW w:w="31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1.境外媒体5家以上参会；</w:t>
            </w:r>
          </w:p>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2.国家级媒体5家以上</w:t>
            </w:r>
          </w:p>
        </w:tc>
        <w:tc>
          <w:tcPr>
            <w:tcW w:w="70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2.5</w:t>
            </w:r>
          </w:p>
        </w:tc>
        <w:tc>
          <w:tcPr>
            <w:tcW w:w="2318"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r>
    </w:tbl>
    <w:p>
      <w:pPr>
        <w:pStyle w:val="3"/>
        <w:spacing w:before="80" w:after="80" w:line="560" w:lineRule="exact"/>
        <w:ind w:firstLine="422" w:firstLineChars="150"/>
        <w:rPr>
          <w:rFonts w:ascii="黑体" w:hAnsi="黑体" w:eastAsia="黑体"/>
          <w:color w:val="000000" w:themeColor="text1"/>
          <w:sz w:val="28"/>
          <w:szCs w:val="28"/>
        </w:rPr>
      </w:pPr>
      <w:bookmarkStart w:id="48" w:name="_Toc451936185"/>
      <w:bookmarkStart w:id="49" w:name="_Toc453770922"/>
      <w:r>
        <w:rPr>
          <w:rFonts w:hint="eastAsia" w:ascii="黑体" w:hAnsi="黑体" w:eastAsia="黑体"/>
          <w:color w:val="000000" w:themeColor="text1"/>
          <w:sz w:val="28"/>
          <w:szCs w:val="28"/>
        </w:rPr>
        <w:t>（二）中国区域性品牌展览会分值表</w:t>
      </w:r>
      <w:bookmarkEnd w:id="48"/>
      <w:r>
        <w:rPr>
          <w:rFonts w:hint="eastAsia" w:ascii="黑体" w:hAnsi="黑体" w:eastAsia="黑体"/>
          <w:color w:val="000000" w:themeColor="text1"/>
          <w:sz w:val="28"/>
          <w:szCs w:val="28"/>
        </w:rPr>
        <w:t>（以地级以上城市为单位）</w:t>
      </w:r>
      <w:bookmarkEnd w:id="49"/>
    </w:p>
    <w:p>
      <w:pPr>
        <w:jc w:val="center"/>
        <w:rPr>
          <w:rFonts w:asciiTheme="minorEastAsia" w:hAnsiTheme="minorEastAsia"/>
          <w:color w:val="000000" w:themeColor="text1"/>
          <w:sz w:val="10"/>
          <w:szCs w:val="10"/>
        </w:rPr>
      </w:pPr>
    </w:p>
    <w:tbl>
      <w:tblPr>
        <w:tblStyle w:val="15"/>
        <w:tblW w:w="8429" w:type="dxa"/>
        <w:tblInd w:w="93" w:type="dxa"/>
        <w:tblLayout w:type="fixed"/>
        <w:tblCellMar>
          <w:top w:w="0" w:type="dxa"/>
          <w:left w:w="108" w:type="dxa"/>
          <w:bottom w:w="0" w:type="dxa"/>
          <w:right w:w="108" w:type="dxa"/>
        </w:tblCellMar>
      </w:tblPr>
      <w:tblGrid>
        <w:gridCol w:w="434"/>
        <w:gridCol w:w="1424"/>
        <w:gridCol w:w="567"/>
        <w:gridCol w:w="4111"/>
        <w:gridCol w:w="567"/>
        <w:gridCol w:w="1326"/>
      </w:tblGrid>
      <w:tr>
        <w:tblPrEx>
          <w:tblLayout w:type="fixed"/>
          <w:tblCellMar>
            <w:top w:w="0" w:type="dxa"/>
            <w:left w:w="108" w:type="dxa"/>
            <w:bottom w:w="0" w:type="dxa"/>
            <w:right w:w="108" w:type="dxa"/>
          </w:tblCellMar>
        </w:tblPrEx>
        <w:trPr>
          <w:trHeight w:val="634" w:hRule="exact"/>
        </w:trPr>
        <w:tc>
          <w:tcPr>
            <w:tcW w:w="4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序号</w:t>
            </w:r>
          </w:p>
        </w:tc>
        <w:tc>
          <w:tcPr>
            <w:tcW w:w="1424"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类别</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总分</w:t>
            </w:r>
          </w:p>
        </w:tc>
        <w:tc>
          <w:tcPr>
            <w:tcW w:w="411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分类内容</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分类     分值</w:t>
            </w:r>
          </w:p>
        </w:tc>
        <w:tc>
          <w:tcPr>
            <w:tcW w:w="1326"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b/>
                <w:bCs/>
                <w:color w:val="000000" w:themeColor="text1"/>
                <w:sz w:val="18"/>
                <w:szCs w:val="18"/>
              </w:rPr>
            </w:pPr>
            <w:r>
              <w:rPr>
                <w:rFonts w:hint="eastAsia" w:cs="宋体" w:asciiTheme="minorEastAsia" w:hAnsiTheme="minorEastAsia"/>
                <w:b/>
                <w:bCs/>
                <w:color w:val="000000" w:themeColor="text1"/>
                <w:sz w:val="18"/>
                <w:szCs w:val="18"/>
              </w:rPr>
              <w:t>备注</w:t>
            </w:r>
          </w:p>
        </w:tc>
      </w:tr>
      <w:tr>
        <w:tblPrEx>
          <w:tblLayout w:type="fixed"/>
          <w:tblCellMar>
            <w:top w:w="0" w:type="dxa"/>
            <w:left w:w="108" w:type="dxa"/>
            <w:bottom w:w="0" w:type="dxa"/>
            <w:right w:w="108" w:type="dxa"/>
          </w:tblCellMar>
        </w:tblPrEx>
        <w:trPr>
          <w:trHeight w:val="454" w:hRule="exact"/>
        </w:trPr>
        <w:tc>
          <w:tcPr>
            <w:tcW w:w="43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w:t>
            </w:r>
          </w:p>
        </w:tc>
        <w:tc>
          <w:tcPr>
            <w:tcW w:w="142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年限</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举办时间5年以上</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1326" w:type="dxa"/>
            <w:vMerge w:val="restart"/>
            <w:tcBorders>
              <w:top w:val="nil"/>
              <w:left w:val="single" w:color="auto" w:sz="4" w:space="0"/>
              <w:right w:val="single" w:color="auto" w:sz="4" w:space="0"/>
            </w:tcBorders>
            <w:shd w:val="clear" w:color="auto" w:fill="auto"/>
          </w:tcPr>
          <w:p>
            <w:pPr>
              <w:rPr>
                <w:rFonts w:cs="宋体" w:asciiTheme="minorEastAsia" w:hAnsiTheme="minorEastAsia"/>
                <w:color w:val="000000" w:themeColor="text1"/>
                <w:sz w:val="18"/>
                <w:szCs w:val="18"/>
              </w:rPr>
            </w:pPr>
            <w:r>
              <w:rPr>
                <w:rFonts w:hint="eastAsia" w:cs="宋体" w:asciiTheme="minorEastAsia" w:hAnsiTheme="minorEastAsia"/>
                <w:b/>
                <w:bCs/>
                <w:color w:val="000000" w:themeColor="text1"/>
                <w:sz w:val="18"/>
                <w:szCs w:val="18"/>
              </w:rPr>
              <w:t>1、</w:t>
            </w:r>
            <w:r>
              <w:rPr>
                <w:rFonts w:hint="eastAsia" w:cs="宋体" w:asciiTheme="minorEastAsia" w:hAnsiTheme="minorEastAsia"/>
                <w:color w:val="000000" w:themeColor="text1"/>
                <w:sz w:val="18"/>
                <w:szCs w:val="18"/>
              </w:rPr>
              <w:t xml:space="preserve">品牌展会分值按100分制计算分值，但设有加分机制，上不封顶，品牌展会得分可以超过100分。                                        </w:t>
            </w:r>
            <w:r>
              <w:rPr>
                <w:rFonts w:hint="eastAsia" w:cs="宋体" w:asciiTheme="minorEastAsia" w:hAnsiTheme="minorEastAsia"/>
                <w:b/>
                <w:bCs/>
                <w:color w:val="000000" w:themeColor="text1"/>
                <w:sz w:val="18"/>
                <w:szCs w:val="18"/>
              </w:rPr>
              <w:t>2、</w:t>
            </w:r>
            <w:r>
              <w:rPr>
                <w:rFonts w:hint="eastAsia" w:cs="宋体" w:asciiTheme="minorEastAsia" w:hAnsiTheme="minorEastAsia"/>
                <w:color w:val="000000" w:themeColor="text1"/>
                <w:sz w:val="18"/>
                <w:szCs w:val="18"/>
              </w:rPr>
              <w:t xml:space="preserve">展会举办时间5年以上，每增加5年加1分，上不封顶。                      </w:t>
            </w: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举办时间10年以上</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11</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restart"/>
            <w:tcBorders>
              <w:top w:val="nil"/>
              <w:left w:val="single" w:color="auto" w:sz="4" w:space="0"/>
              <w:bottom w:val="nil"/>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1424" w:type="dxa"/>
            <w:vMerge w:val="restart"/>
            <w:tcBorders>
              <w:top w:val="nil"/>
              <w:left w:val="single" w:color="auto" w:sz="4" w:space="0"/>
              <w:bottom w:val="nil"/>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规模</w:t>
            </w:r>
          </w:p>
        </w:tc>
        <w:tc>
          <w:tcPr>
            <w:tcW w:w="567" w:type="dxa"/>
            <w:vMerge w:val="restart"/>
            <w:tcBorders>
              <w:top w:val="nil"/>
              <w:left w:val="single" w:color="auto" w:sz="4" w:space="0"/>
              <w:bottom w:val="nil"/>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20</w:t>
            </w: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本市同类展览面积规模第1名</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20</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nil"/>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nil"/>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nil"/>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本市同类展览面积规模第2名</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19</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3</w:t>
            </w:r>
          </w:p>
        </w:tc>
        <w:tc>
          <w:tcPr>
            <w:tcW w:w="1424"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专业性</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专业化率90%以上</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15</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4</w:t>
            </w:r>
          </w:p>
        </w:tc>
        <w:tc>
          <w:tcPr>
            <w:tcW w:w="142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市场性</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市场化率百分之百100%</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14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知识产权保护</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411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组展书有知识产权保护要求</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2.5</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展会现场设立知识产权投诉点</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2.5</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展会未发生侵权问题</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6</w:t>
            </w:r>
          </w:p>
        </w:tc>
        <w:tc>
          <w:tcPr>
            <w:tcW w:w="142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信息化建设</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411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设立互联网站</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3</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实现网上报名参展、注册</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设立移动APP与客户端</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7</w:t>
            </w:r>
          </w:p>
        </w:tc>
        <w:tc>
          <w:tcPr>
            <w:tcW w:w="142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规范化建设</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15</w:t>
            </w: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按规定向相关部门报备核准</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按规定向公安部门报备核准</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布展方案经消防部门核准</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各展厅设立服务台和展位示意图</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现场秩序好、噪音控制好</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印制纸质会刊或制作电子会刊</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5年以上无重大安全事故</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4</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8</w:t>
            </w:r>
          </w:p>
        </w:tc>
        <w:tc>
          <w:tcPr>
            <w:tcW w:w="142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绿色展装</w:t>
            </w:r>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有绿色展装要求</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454" w:hRule="exact"/>
        </w:trPr>
        <w:tc>
          <w:tcPr>
            <w:tcW w:w="43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1424"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567" w:type="dxa"/>
            <w:vMerge w:val="continue"/>
            <w:tcBorders>
              <w:top w:val="nil"/>
              <w:left w:val="single" w:color="auto" w:sz="4" w:space="0"/>
              <w:bottom w:val="single" w:color="000000" w:sz="4" w:space="0"/>
              <w:right w:val="single" w:color="auto" w:sz="4" w:space="0"/>
            </w:tcBorders>
            <w:vAlign w:val="center"/>
          </w:tcPr>
          <w:p>
            <w:pPr>
              <w:rPr>
                <w:rFonts w:cs="宋体" w:asciiTheme="minorEastAsia" w:hAnsiTheme="minorEastAsia"/>
                <w:color w:val="000000" w:themeColor="text1"/>
                <w:sz w:val="18"/>
                <w:szCs w:val="18"/>
              </w:rPr>
            </w:pP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绿色展装率达80%</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3</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642" w:hRule="exact"/>
        </w:trPr>
        <w:tc>
          <w:tcPr>
            <w:tcW w:w="434"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9</w:t>
            </w:r>
          </w:p>
        </w:tc>
        <w:tc>
          <w:tcPr>
            <w:tcW w:w="142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展商满意度</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展商综合满意度90%以上</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694" w:hRule="exact"/>
        </w:trPr>
        <w:tc>
          <w:tcPr>
            <w:tcW w:w="434"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10</w:t>
            </w:r>
          </w:p>
        </w:tc>
        <w:tc>
          <w:tcPr>
            <w:tcW w:w="142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客商满意度</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4111"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客商综合满意度90%以上</w:t>
            </w:r>
          </w:p>
        </w:tc>
        <w:tc>
          <w:tcPr>
            <w:tcW w:w="56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5" w:hRule="atLeast"/>
        </w:trPr>
        <w:tc>
          <w:tcPr>
            <w:tcW w:w="434" w:type="dxa"/>
            <w:vMerge w:val="restart"/>
            <w:tcBorders>
              <w:top w:val="single" w:color="auto" w:sz="4" w:space="0"/>
              <w:left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11</w:t>
            </w:r>
          </w:p>
        </w:tc>
        <w:tc>
          <w:tcPr>
            <w:tcW w:w="1424" w:type="dxa"/>
            <w:vMerge w:val="restart"/>
            <w:tcBorders>
              <w:top w:val="single" w:color="auto" w:sz="4" w:space="0"/>
              <w:left w:val="nil"/>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社会影响力</w:t>
            </w:r>
          </w:p>
        </w:tc>
        <w:tc>
          <w:tcPr>
            <w:tcW w:w="567" w:type="dxa"/>
            <w:vMerge w:val="restart"/>
            <w:tcBorders>
              <w:top w:val="single" w:color="auto" w:sz="4" w:space="0"/>
              <w:left w:val="nil"/>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5</w:t>
            </w:r>
          </w:p>
        </w:tc>
        <w:tc>
          <w:tcPr>
            <w:tcW w:w="411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设立有主题论坛</w:t>
            </w:r>
          </w:p>
        </w:tc>
        <w:tc>
          <w:tcPr>
            <w:tcW w:w="56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2.5</w:t>
            </w:r>
          </w:p>
        </w:tc>
        <w:tc>
          <w:tcPr>
            <w:tcW w:w="1326" w:type="dxa"/>
            <w:vMerge w:val="continue"/>
            <w:tcBorders>
              <w:left w:val="single" w:color="auto" w:sz="4" w:space="0"/>
              <w:right w:val="single" w:color="auto" w:sz="4" w:space="0"/>
            </w:tcBorders>
            <w:vAlign w:val="center"/>
          </w:tcPr>
          <w:p>
            <w:pPr>
              <w:rPr>
                <w:rFonts w:cs="宋体" w:asciiTheme="minorEastAsia" w:hAnsiTheme="minorEastAsia"/>
                <w:color w:val="000000" w:themeColor="text1"/>
                <w:sz w:val="18"/>
                <w:szCs w:val="18"/>
              </w:rPr>
            </w:pPr>
          </w:p>
        </w:tc>
      </w:tr>
      <w:tr>
        <w:tblPrEx>
          <w:tblLayout w:type="fixed"/>
          <w:tblCellMar>
            <w:top w:w="0" w:type="dxa"/>
            <w:left w:w="108" w:type="dxa"/>
            <w:bottom w:w="0" w:type="dxa"/>
            <w:right w:w="108" w:type="dxa"/>
          </w:tblCellMar>
        </w:tblPrEx>
        <w:trPr>
          <w:trHeight w:val="345" w:hRule="exact"/>
        </w:trPr>
        <w:tc>
          <w:tcPr>
            <w:tcW w:w="434" w:type="dxa"/>
            <w:vMerge w:val="continue"/>
            <w:tcBorders>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p>
        </w:tc>
        <w:tc>
          <w:tcPr>
            <w:tcW w:w="1424" w:type="dxa"/>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p>
        </w:tc>
        <w:tc>
          <w:tcPr>
            <w:tcW w:w="567" w:type="dxa"/>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p>
        </w:tc>
        <w:tc>
          <w:tcPr>
            <w:tcW w:w="4111"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参会媒体20家以上；国家级媒体2家以上</w:t>
            </w:r>
          </w:p>
        </w:tc>
        <w:tc>
          <w:tcPr>
            <w:tcW w:w="567" w:type="dxa"/>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themeColor="text1"/>
                <w:sz w:val="18"/>
                <w:szCs w:val="18"/>
              </w:rPr>
            </w:pPr>
            <w:r>
              <w:rPr>
                <w:rFonts w:hint="eastAsia" w:cs="宋体" w:asciiTheme="minorEastAsia" w:hAnsiTheme="minorEastAsia"/>
                <w:color w:val="000000" w:themeColor="text1"/>
                <w:sz w:val="18"/>
                <w:szCs w:val="18"/>
              </w:rPr>
              <w:t>2.5</w:t>
            </w:r>
          </w:p>
        </w:tc>
        <w:tc>
          <w:tcPr>
            <w:tcW w:w="1326" w:type="dxa"/>
            <w:vMerge w:val="continue"/>
            <w:tcBorders>
              <w:left w:val="single" w:color="auto" w:sz="4" w:space="0"/>
              <w:bottom w:val="single" w:color="auto" w:sz="4" w:space="0"/>
              <w:right w:val="single" w:color="auto" w:sz="4" w:space="0"/>
            </w:tcBorders>
            <w:vAlign w:val="center"/>
          </w:tcPr>
          <w:p>
            <w:pPr>
              <w:rPr>
                <w:rFonts w:cs="宋体" w:asciiTheme="minorEastAsia" w:hAnsiTheme="minorEastAsia"/>
                <w:color w:val="000000" w:themeColor="text1"/>
                <w:sz w:val="18"/>
                <w:szCs w:val="18"/>
              </w:rPr>
            </w:pPr>
          </w:p>
        </w:tc>
      </w:tr>
    </w:tbl>
    <w:p>
      <w:pPr>
        <w:pStyle w:val="3"/>
        <w:spacing w:before="80" w:after="80" w:line="560" w:lineRule="exact"/>
        <w:ind w:firstLine="422" w:firstLineChars="150"/>
        <w:rPr>
          <w:rFonts w:ascii="黑体" w:hAnsi="黑体" w:eastAsia="黑体"/>
          <w:color w:val="000000" w:themeColor="text1"/>
          <w:sz w:val="28"/>
          <w:szCs w:val="28"/>
        </w:rPr>
      </w:pPr>
      <w:bookmarkStart w:id="50" w:name="_Toc453770923"/>
      <w:bookmarkStart w:id="51" w:name="_Toc451936186"/>
      <w:r>
        <w:rPr>
          <w:rFonts w:ascii="黑体" w:hAnsi="黑体" w:eastAsia="黑体"/>
          <w:color w:val="000000" w:themeColor="text1"/>
          <w:sz w:val="28"/>
          <w:szCs w:val="28"/>
        </w:rPr>
        <w:t>（</w:t>
      </w:r>
      <w:r>
        <w:rPr>
          <w:rFonts w:hint="eastAsia" w:ascii="黑体" w:hAnsi="黑体" w:eastAsia="黑体"/>
          <w:color w:val="000000" w:themeColor="text1"/>
          <w:sz w:val="28"/>
          <w:szCs w:val="28"/>
        </w:rPr>
        <w:t>三</w:t>
      </w:r>
      <w:r>
        <w:rPr>
          <w:rFonts w:ascii="黑体" w:hAnsi="黑体" w:eastAsia="黑体"/>
          <w:color w:val="000000" w:themeColor="text1"/>
          <w:sz w:val="28"/>
          <w:szCs w:val="28"/>
        </w:rPr>
        <w:t>）中国品牌展览会推荐表</w:t>
      </w:r>
      <w:bookmarkEnd w:id="50"/>
      <w:bookmarkEnd w:id="51"/>
    </w:p>
    <w:p>
      <w:pPr>
        <w:rPr>
          <w:color w:val="000000" w:themeColor="text1"/>
          <w:sz w:val="28"/>
          <w:szCs w:val="28"/>
        </w:rPr>
      </w:pPr>
      <w:r>
        <w:rPr>
          <w:rFonts w:hint="eastAsia"/>
          <w:b/>
          <w:color w:val="000000" w:themeColor="text1"/>
          <w:sz w:val="28"/>
          <w:szCs w:val="28"/>
        </w:rPr>
        <w:t>推荐城市：</w:t>
      </w:r>
      <w:r>
        <w:rPr>
          <w:rFonts w:hint="eastAsia"/>
          <w:color w:val="000000" w:themeColor="text1"/>
          <w:sz w:val="28"/>
          <w:szCs w:val="28"/>
        </w:rPr>
        <w:t xml:space="preserve">                                 </w:t>
      </w:r>
      <w:r>
        <w:rPr>
          <w:rFonts w:hint="eastAsia"/>
          <w:color w:val="000000" w:themeColor="text1"/>
          <w:sz w:val="24"/>
        </w:rPr>
        <w:t xml:space="preserve">    编号：</w:t>
      </w:r>
    </w:p>
    <w:tbl>
      <w:tblPr>
        <w:tblStyle w:val="1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6"/>
        <w:gridCol w:w="1594"/>
        <w:gridCol w:w="1416"/>
        <w:gridCol w:w="868"/>
        <w:gridCol w:w="1018"/>
        <w:gridCol w:w="231"/>
        <w:gridCol w:w="878"/>
        <w:gridCol w:w="14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项目名称</w:t>
            </w:r>
          </w:p>
        </w:tc>
        <w:tc>
          <w:tcPr>
            <w:tcW w:w="3878" w:type="dxa"/>
            <w:gridSpan w:val="3"/>
            <w:vAlign w:val="center"/>
          </w:tcPr>
          <w:p>
            <w:pPr>
              <w:jc w:val="center"/>
              <w:rPr>
                <w:rFonts w:asciiTheme="minorEastAsia" w:hAnsiTheme="minorEastAsia"/>
                <w:color w:val="000000" w:themeColor="text1"/>
                <w:sz w:val="18"/>
                <w:szCs w:val="18"/>
              </w:rPr>
            </w:pPr>
          </w:p>
        </w:tc>
        <w:tc>
          <w:tcPr>
            <w:tcW w:w="1249" w:type="dxa"/>
            <w:gridSpan w:val="2"/>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行业</w:t>
            </w:r>
            <w:r>
              <w:rPr>
                <w:rFonts w:hint="eastAsia" w:asciiTheme="minorEastAsia" w:hAnsiTheme="minorEastAsia"/>
                <w:color w:val="000000" w:themeColor="text1"/>
                <w:sz w:val="18"/>
                <w:szCs w:val="18"/>
              </w:rPr>
              <w:t>及编号</w:t>
            </w:r>
          </w:p>
        </w:tc>
        <w:tc>
          <w:tcPr>
            <w:tcW w:w="2329" w:type="dxa"/>
            <w:gridSpan w:val="2"/>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主办单位</w:t>
            </w:r>
          </w:p>
        </w:tc>
        <w:tc>
          <w:tcPr>
            <w:tcW w:w="7456" w:type="dxa"/>
            <w:gridSpan w:val="7"/>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承办单位</w:t>
            </w:r>
          </w:p>
        </w:tc>
        <w:tc>
          <w:tcPr>
            <w:tcW w:w="7456" w:type="dxa"/>
            <w:gridSpan w:val="7"/>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8522" w:type="dxa"/>
            <w:gridSpan w:val="8"/>
            <w:vAlign w:val="center"/>
          </w:tcPr>
          <w:p>
            <w:pPr>
              <w:jc w:val="center"/>
              <w:rPr>
                <w:rFonts w:asciiTheme="minorEastAsia" w:hAnsiTheme="minorEastAsia"/>
                <w:b/>
                <w:color w:val="000000" w:themeColor="text1"/>
                <w:sz w:val="18"/>
                <w:szCs w:val="18"/>
              </w:rPr>
            </w:pPr>
            <w:r>
              <w:rPr>
                <w:rFonts w:asciiTheme="minorEastAsia" w:hAnsiTheme="minorEastAsia"/>
                <w:b/>
                <w:color w:val="000000" w:themeColor="text1"/>
                <w:sz w:val="18"/>
                <w:szCs w:val="18"/>
              </w:rPr>
              <w:t>主要指标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restart"/>
            <w:vAlign w:val="center"/>
          </w:tcPr>
          <w:p>
            <w:pPr>
              <w:rPr>
                <w:rFonts w:asciiTheme="minorEastAsia" w:hAnsiTheme="minorEastAsia"/>
                <w:color w:val="000000" w:themeColor="text1"/>
                <w:sz w:val="18"/>
                <w:szCs w:val="18"/>
              </w:rPr>
            </w:pPr>
            <w:r>
              <w:rPr>
                <w:rFonts w:asciiTheme="minorEastAsia" w:hAnsiTheme="minorEastAsia"/>
                <w:color w:val="000000" w:themeColor="text1"/>
                <w:sz w:val="18"/>
                <w:szCs w:val="18"/>
              </w:rPr>
              <w:t>举办年限</w:t>
            </w:r>
          </w:p>
        </w:tc>
        <w:tc>
          <w:tcPr>
            <w:tcW w:w="1594" w:type="dxa"/>
            <w:vMerge w:val="restart"/>
            <w:vAlign w:val="center"/>
          </w:tcPr>
          <w:p>
            <w:pPr>
              <w:jc w:val="center"/>
              <w:rPr>
                <w:rFonts w:asciiTheme="minorEastAsia" w:hAnsiTheme="minorEastAsia"/>
                <w:color w:val="000000" w:themeColor="text1"/>
                <w:sz w:val="18"/>
                <w:szCs w:val="18"/>
              </w:rPr>
            </w:pPr>
          </w:p>
        </w:tc>
        <w:tc>
          <w:tcPr>
            <w:tcW w:w="1416"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规模</w:t>
            </w:r>
            <w:r>
              <w:rPr>
                <w:rFonts w:hint="eastAsia" w:asciiTheme="minorEastAsia" w:hAnsiTheme="minorEastAsia"/>
                <w:color w:val="000000" w:themeColor="text1"/>
                <w:sz w:val="18"/>
                <w:szCs w:val="18"/>
              </w:rPr>
              <w:t>m²</w:t>
            </w:r>
          </w:p>
        </w:tc>
        <w:tc>
          <w:tcPr>
            <w:tcW w:w="868"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总面积</w:t>
            </w:r>
          </w:p>
        </w:tc>
        <w:tc>
          <w:tcPr>
            <w:tcW w:w="1249" w:type="dxa"/>
            <w:gridSpan w:val="2"/>
            <w:vAlign w:val="center"/>
          </w:tcPr>
          <w:p>
            <w:pPr>
              <w:jc w:val="center"/>
              <w:rPr>
                <w:rFonts w:asciiTheme="minorEastAsia" w:hAnsiTheme="minorEastAsia"/>
                <w:color w:val="000000" w:themeColor="text1"/>
                <w:sz w:val="18"/>
                <w:szCs w:val="18"/>
              </w:rPr>
            </w:pPr>
          </w:p>
        </w:tc>
        <w:tc>
          <w:tcPr>
            <w:tcW w:w="878"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全球排名</w:t>
            </w:r>
          </w:p>
        </w:tc>
        <w:tc>
          <w:tcPr>
            <w:tcW w:w="1451"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Merge w:val="continue"/>
            <w:vAlign w:val="center"/>
          </w:tcPr>
          <w:p>
            <w:pPr>
              <w:jc w:val="center"/>
              <w:rPr>
                <w:rFonts w:asciiTheme="minorEastAsia" w:hAnsiTheme="minorEastAsia"/>
                <w:color w:val="000000" w:themeColor="text1"/>
                <w:sz w:val="18"/>
                <w:szCs w:val="18"/>
              </w:rPr>
            </w:pPr>
          </w:p>
        </w:tc>
        <w:tc>
          <w:tcPr>
            <w:tcW w:w="1416" w:type="dxa"/>
            <w:vMerge w:val="continue"/>
            <w:vAlign w:val="center"/>
          </w:tcPr>
          <w:p>
            <w:pPr>
              <w:jc w:val="center"/>
              <w:rPr>
                <w:rFonts w:asciiTheme="minorEastAsia" w:hAnsiTheme="minorEastAsia"/>
                <w:color w:val="000000" w:themeColor="text1"/>
                <w:sz w:val="18"/>
                <w:szCs w:val="18"/>
              </w:rPr>
            </w:pPr>
          </w:p>
        </w:tc>
        <w:tc>
          <w:tcPr>
            <w:tcW w:w="868"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净面积</w:t>
            </w:r>
          </w:p>
        </w:tc>
        <w:tc>
          <w:tcPr>
            <w:tcW w:w="1249" w:type="dxa"/>
            <w:gridSpan w:val="2"/>
            <w:vAlign w:val="center"/>
          </w:tcPr>
          <w:p>
            <w:pPr>
              <w:jc w:val="center"/>
              <w:rPr>
                <w:rFonts w:asciiTheme="minorEastAsia" w:hAnsiTheme="minorEastAsia"/>
                <w:color w:val="000000" w:themeColor="text1"/>
                <w:sz w:val="18"/>
                <w:szCs w:val="18"/>
              </w:rPr>
            </w:pPr>
          </w:p>
        </w:tc>
        <w:tc>
          <w:tcPr>
            <w:tcW w:w="878" w:type="dxa"/>
            <w:vMerge w:val="continue"/>
            <w:vAlign w:val="center"/>
          </w:tcPr>
          <w:p>
            <w:pPr>
              <w:jc w:val="center"/>
              <w:rPr>
                <w:rFonts w:asciiTheme="minorEastAsia" w:hAnsiTheme="minorEastAsia"/>
                <w:color w:val="000000" w:themeColor="text1"/>
                <w:sz w:val="18"/>
                <w:szCs w:val="18"/>
              </w:rPr>
            </w:pPr>
          </w:p>
        </w:tc>
        <w:tc>
          <w:tcPr>
            <w:tcW w:w="1451"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Merge w:val="continue"/>
            <w:vAlign w:val="center"/>
          </w:tcPr>
          <w:p>
            <w:pPr>
              <w:jc w:val="center"/>
              <w:rPr>
                <w:rFonts w:asciiTheme="minorEastAsia" w:hAnsiTheme="minorEastAsia"/>
                <w:color w:val="000000" w:themeColor="text1"/>
                <w:sz w:val="18"/>
                <w:szCs w:val="18"/>
              </w:rPr>
            </w:pPr>
          </w:p>
        </w:tc>
        <w:tc>
          <w:tcPr>
            <w:tcW w:w="1416" w:type="dxa"/>
            <w:vMerge w:val="continue"/>
            <w:vAlign w:val="center"/>
          </w:tcPr>
          <w:p>
            <w:pPr>
              <w:jc w:val="center"/>
              <w:rPr>
                <w:rFonts w:asciiTheme="minorEastAsia" w:hAnsiTheme="minorEastAsia"/>
                <w:color w:val="000000" w:themeColor="text1"/>
                <w:sz w:val="18"/>
                <w:szCs w:val="18"/>
              </w:rPr>
            </w:pPr>
          </w:p>
        </w:tc>
        <w:tc>
          <w:tcPr>
            <w:tcW w:w="868"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展位数</w:t>
            </w:r>
          </w:p>
        </w:tc>
        <w:tc>
          <w:tcPr>
            <w:tcW w:w="1249" w:type="dxa"/>
            <w:gridSpan w:val="2"/>
            <w:vAlign w:val="center"/>
          </w:tcPr>
          <w:p>
            <w:pPr>
              <w:jc w:val="center"/>
              <w:rPr>
                <w:rFonts w:asciiTheme="minorEastAsia" w:hAnsiTheme="minorEastAsia"/>
                <w:color w:val="000000" w:themeColor="text1"/>
                <w:sz w:val="18"/>
                <w:szCs w:val="18"/>
              </w:rPr>
            </w:pPr>
          </w:p>
        </w:tc>
        <w:tc>
          <w:tcPr>
            <w:tcW w:w="878" w:type="dxa"/>
            <w:vMerge w:val="continue"/>
            <w:vAlign w:val="center"/>
          </w:tcPr>
          <w:p>
            <w:pPr>
              <w:jc w:val="center"/>
              <w:rPr>
                <w:rFonts w:asciiTheme="minorEastAsia" w:hAnsiTheme="minorEastAsia"/>
                <w:color w:val="000000" w:themeColor="text1"/>
                <w:sz w:val="18"/>
                <w:szCs w:val="18"/>
              </w:rPr>
            </w:pPr>
          </w:p>
        </w:tc>
        <w:tc>
          <w:tcPr>
            <w:tcW w:w="1451"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专业性</w:t>
            </w:r>
          </w:p>
        </w:tc>
        <w:tc>
          <w:tcPr>
            <w:tcW w:w="3010" w:type="dxa"/>
            <w:gridSpan w:val="2"/>
            <w:vAlign w:val="center"/>
          </w:tcPr>
          <w:p>
            <w:pPr>
              <w:jc w:val="center"/>
              <w:rPr>
                <w:rFonts w:asciiTheme="minorEastAsia" w:hAnsiTheme="minorEastAsia"/>
                <w:color w:val="000000" w:themeColor="text1"/>
                <w:sz w:val="18"/>
                <w:szCs w:val="18"/>
              </w:rPr>
            </w:pPr>
          </w:p>
        </w:tc>
        <w:tc>
          <w:tcPr>
            <w:tcW w:w="868"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市场性</w:t>
            </w:r>
          </w:p>
        </w:tc>
        <w:tc>
          <w:tcPr>
            <w:tcW w:w="3578" w:type="dxa"/>
            <w:gridSpan w:val="4"/>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restart"/>
            <w:vAlign w:val="center"/>
          </w:tcPr>
          <w:p>
            <w:pPr>
              <w:ind w:firstLine="90" w:firstLineChars="50"/>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国际性</w:t>
            </w: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参展国家、地区数</w:t>
            </w:r>
          </w:p>
        </w:tc>
        <w:tc>
          <w:tcPr>
            <w:tcW w:w="2284" w:type="dxa"/>
            <w:gridSpan w:val="2"/>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境外客商国家、地区数</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境外展位比</w:t>
            </w:r>
          </w:p>
        </w:tc>
        <w:tc>
          <w:tcPr>
            <w:tcW w:w="2284" w:type="dxa"/>
            <w:gridSpan w:val="2"/>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境外客商比</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知识产权保护</w:t>
            </w: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组展书有要求</w:t>
            </w:r>
          </w:p>
        </w:tc>
        <w:tc>
          <w:tcPr>
            <w:tcW w:w="1416" w:type="dxa"/>
            <w:vAlign w:val="center"/>
          </w:tcPr>
          <w:p>
            <w:pPr>
              <w:jc w:val="center"/>
              <w:rPr>
                <w:rFonts w:asciiTheme="minorEastAsia" w:hAnsiTheme="minorEastAsia"/>
                <w:color w:val="000000" w:themeColor="text1"/>
                <w:sz w:val="18"/>
                <w:szCs w:val="18"/>
              </w:rPr>
            </w:pPr>
          </w:p>
        </w:tc>
        <w:tc>
          <w:tcPr>
            <w:tcW w:w="86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信息化建设</w:t>
            </w: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是否有双语官网、网址</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现场设立投诉点</w:t>
            </w:r>
          </w:p>
        </w:tc>
        <w:tc>
          <w:tcPr>
            <w:tcW w:w="1416" w:type="dxa"/>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实现网上报名、办证</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有无侵权事件</w:t>
            </w:r>
          </w:p>
        </w:tc>
        <w:tc>
          <w:tcPr>
            <w:tcW w:w="1416" w:type="dxa"/>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设立APP、客户端</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restart"/>
            <w:vAlign w:val="center"/>
          </w:tcPr>
          <w:p>
            <w:pP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规范化建</w:t>
            </w: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设</w:t>
            </w: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行业报备核准</w:t>
            </w:r>
          </w:p>
        </w:tc>
        <w:tc>
          <w:tcPr>
            <w:tcW w:w="1416" w:type="dxa"/>
            <w:vAlign w:val="center"/>
          </w:tcPr>
          <w:p>
            <w:pPr>
              <w:jc w:val="center"/>
              <w:rPr>
                <w:rFonts w:asciiTheme="minorEastAsia" w:hAnsiTheme="minorEastAsia"/>
                <w:color w:val="000000" w:themeColor="text1"/>
                <w:sz w:val="18"/>
                <w:szCs w:val="18"/>
              </w:rPr>
            </w:pPr>
          </w:p>
        </w:tc>
        <w:tc>
          <w:tcPr>
            <w:tcW w:w="86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绿色展装</w:t>
            </w: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有无要求</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4"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公安部门报备核准</w:t>
            </w:r>
          </w:p>
        </w:tc>
        <w:tc>
          <w:tcPr>
            <w:tcW w:w="1416" w:type="dxa"/>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绿色展装率</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布展消防核准</w:t>
            </w:r>
          </w:p>
        </w:tc>
        <w:tc>
          <w:tcPr>
            <w:tcW w:w="1416" w:type="dxa"/>
            <w:vAlign w:val="center"/>
          </w:tcPr>
          <w:p>
            <w:pPr>
              <w:jc w:val="center"/>
              <w:rPr>
                <w:rFonts w:asciiTheme="minorEastAsia" w:hAnsiTheme="minorEastAsia"/>
                <w:color w:val="000000" w:themeColor="text1"/>
                <w:sz w:val="18"/>
                <w:szCs w:val="18"/>
              </w:rPr>
            </w:pPr>
          </w:p>
        </w:tc>
        <w:tc>
          <w:tcPr>
            <w:tcW w:w="86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展客商满意度</w:t>
            </w: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展商</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ind w:firstLine="90" w:firstLineChars="50"/>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服务台、展位图</w:t>
            </w:r>
          </w:p>
        </w:tc>
        <w:tc>
          <w:tcPr>
            <w:tcW w:w="1416" w:type="dxa"/>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客商</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秩序好、低噪音</w:t>
            </w:r>
          </w:p>
        </w:tc>
        <w:tc>
          <w:tcPr>
            <w:tcW w:w="1416" w:type="dxa"/>
            <w:vAlign w:val="center"/>
          </w:tcPr>
          <w:p>
            <w:pPr>
              <w:jc w:val="center"/>
              <w:rPr>
                <w:rFonts w:asciiTheme="minorEastAsia" w:hAnsiTheme="minorEastAsia"/>
                <w:color w:val="000000" w:themeColor="text1"/>
                <w:sz w:val="18"/>
                <w:szCs w:val="18"/>
              </w:rPr>
            </w:pPr>
          </w:p>
        </w:tc>
        <w:tc>
          <w:tcPr>
            <w:tcW w:w="86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社会影响力</w:t>
            </w:r>
          </w:p>
        </w:tc>
        <w:tc>
          <w:tcPr>
            <w:tcW w:w="101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论坛、研讨</w:t>
            </w:r>
          </w:p>
        </w:tc>
        <w:tc>
          <w:tcPr>
            <w:tcW w:w="1109"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场次</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纸质、电子会刊</w:t>
            </w:r>
          </w:p>
        </w:tc>
        <w:tc>
          <w:tcPr>
            <w:tcW w:w="1416" w:type="dxa"/>
            <w:vMerge w:val="restart"/>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1018" w:type="dxa"/>
            <w:vMerge w:val="continue"/>
            <w:vAlign w:val="center"/>
          </w:tcPr>
          <w:p>
            <w:pPr>
              <w:jc w:val="center"/>
              <w:rPr>
                <w:rFonts w:asciiTheme="minorEastAsia" w:hAnsiTheme="minorEastAsia"/>
                <w:color w:val="000000" w:themeColor="text1"/>
                <w:sz w:val="18"/>
                <w:szCs w:val="18"/>
              </w:rPr>
            </w:pPr>
          </w:p>
        </w:tc>
        <w:tc>
          <w:tcPr>
            <w:tcW w:w="1109"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档次</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7"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Merge w:val="continue"/>
            <w:vAlign w:val="center"/>
          </w:tcPr>
          <w:p>
            <w:pPr>
              <w:jc w:val="center"/>
              <w:rPr>
                <w:rFonts w:asciiTheme="minorEastAsia" w:hAnsiTheme="minorEastAsia"/>
                <w:color w:val="000000" w:themeColor="text1"/>
                <w:sz w:val="18"/>
                <w:szCs w:val="18"/>
              </w:rPr>
            </w:pPr>
          </w:p>
        </w:tc>
        <w:tc>
          <w:tcPr>
            <w:tcW w:w="1416" w:type="dxa"/>
            <w:vMerge w:val="continue"/>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101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媒体</w:t>
            </w:r>
          </w:p>
        </w:tc>
        <w:tc>
          <w:tcPr>
            <w:tcW w:w="1109"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境外媒体</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1"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有无事故</w:t>
            </w:r>
          </w:p>
        </w:tc>
        <w:tc>
          <w:tcPr>
            <w:tcW w:w="1416" w:type="dxa"/>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1018" w:type="dxa"/>
            <w:vMerge w:val="continue"/>
            <w:vAlign w:val="center"/>
          </w:tcPr>
          <w:p>
            <w:pPr>
              <w:jc w:val="center"/>
              <w:rPr>
                <w:rFonts w:asciiTheme="minorEastAsia" w:hAnsiTheme="minorEastAsia"/>
                <w:color w:val="000000" w:themeColor="text1"/>
                <w:sz w:val="18"/>
                <w:szCs w:val="18"/>
              </w:rPr>
            </w:pPr>
          </w:p>
        </w:tc>
        <w:tc>
          <w:tcPr>
            <w:tcW w:w="1109"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国家级媒体</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35" w:hRule="exact"/>
        </w:trPr>
        <w:tc>
          <w:tcPr>
            <w:tcW w:w="1066"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推荐单位意见</w:t>
            </w:r>
          </w:p>
        </w:tc>
        <w:tc>
          <w:tcPr>
            <w:tcW w:w="7456" w:type="dxa"/>
            <w:gridSpan w:val="7"/>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w:t>
            </w:r>
          </w:p>
          <w:p>
            <w:pPr>
              <w:jc w:val="center"/>
              <w:rPr>
                <w:rFonts w:asciiTheme="minorEastAsia" w:hAnsiTheme="minorEastAsia"/>
                <w:color w:val="000000" w:themeColor="text1"/>
                <w:sz w:val="18"/>
                <w:szCs w:val="18"/>
              </w:rPr>
            </w:pP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w:t>
            </w: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（签章）</w:t>
            </w:r>
          </w:p>
        </w:tc>
      </w:tr>
    </w:tbl>
    <w:p>
      <w:pPr>
        <w:pStyle w:val="3"/>
        <w:spacing w:before="80" w:after="80" w:line="560" w:lineRule="exact"/>
        <w:ind w:firstLine="422" w:firstLineChars="150"/>
        <w:rPr>
          <w:rFonts w:ascii="黑体" w:hAnsi="黑体" w:eastAsia="黑体"/>
          <w:color w:val="000000" w:themeColor="text1"/>
          <w:sz w:val="28"/>
          <w:szCs w:val="28"/>
        </w:rPr>
      </w:pPr>
      <w:bookmarkStart w:id="52" w:name="_Toc451936188"/>
      <w:bookmarkStart w:id="53" w:name="_Toc453770924"/>
      <w:r>
        <w:rPr>
          <w:rFonts w:ascii="黑体" w:hAnsi="黑体" w:eastAsia="黑体"/>
          <w:color w:val="000000" w:themeColor="text1"/>
          <w:sz w:val="28"/>
          <w:szCs w:val="28"/>
        </w:rPr>
        <w:t>（</w:t>
      </w:r>
      <w:r>
        <w:rPr>
          <w:rFonts w:hint="eastAsia" w:ascii="黑体" w:hAnsi="黑体" w:eastAsia="黑体"/>
          <w:color w:val="000000" w:themeColor="text1"/>
          <w:sz w:val="28"/>
          <w:szCs w:val="28"/>
        </w:rPr>
        <w:t>四</w:t>
      </w:r>
      <w:r>
        <w:rPr>
          <w:rFonts w:ascii="黑体" w:hAnsi="黑体" w:eastAsia="黑体"/>
          <w:color w:val="000000" w:themeColor="text1"/>
          <w:sz w:val="28"/>
          <w:szCs w:val="28"/>
        </w:rPr>
        <w:t>）中国区域性（</w:t>
      </w:r>
      <w:r>
        <w:rPr>
          <w:rFonts w:hint="eastAsia" w:ascii="黑体" w:hAnsi="黑体" w:eastAsia="黑体"/>
          <w:color w:val="000000" w:themeColor="text1"/>
          <w:sz w:val="28"/>
          <w:szCs w:val="28"/>
        </w:rPr>
        <w:t>市</w:t>
      </w:r>
      <w:r>
        <w:rPr>
          <w:rFonts w:ascii="黑体" w:hAnsi="黑体" w:eastAsia="黑体"/>
          <w:color w:val="000000" w:themeColor="text1"/>
          <w:sz w:val="28"/>
          <w:szCs w:val="28"/>
        </w:rPr>
        <w:t>级）品牌展览会推荐表</w:t>
      </w:r>
      <w:bookmarkEnd w:id="52"/>
      <w:bookmarkEnd w:id="53"/>
    </w:p>
    <w:p>
      <w:pPr>
        <w:rPr>
          <w:color w:val="000000" w:themeColor="text1"/>
          <w:sz w:val="28"/>
          <w:szCs w:val="28"/>
        </w:rPr>
      </w:pPr>
      <w:r>
        <w:rPr>
          <w:rFonts w:hint="eastAsia"/>
          <w:b/>
          <w:color w:val="000000" w:themeColor="text1"/>
          <w:sz w:val="28"/>
          <w:szCs w:val="28"/>
        </w:rPr>
        <w:t>推荐城市：</w:t>
      </w:r>
      <w:r>
        <w:rPr>
          <w:rFonts w:hint="eastAsia"/>
          <w:color w:val="000000" w:themeColor="text1"/>
          <w:sz w:val="28"/>
          <w:szCs w:val="28"/>
        </w:rPr>
        <w:t xml:space="preserve">                                 </w:t>
      </w:r>
      <w:r>
        <w:rPr>
          <w:rFonts w:hint="eastAsia"/>
          <w:color w:val="000000" w:themeColor="text1"/>
          <w:sz w:val="24"/>
        </w:rPr>
        <w:t xml:space="preserve">    编号：</w:t>
      </w:r>
    </w:p>
    <w:tbl>
      <w:tblPr>
        <w:tblStyle w:val="16"/>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1559"/>
        <w:gridCol w:w="1417"/>
        <w:gridCol w:w="851"/>
        <w:gridCol w:w="1134"/>
        <w:gridCol w:w="992"/>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项目名称</w:t>
            </w:r>
          </w:p>
        </w:tc>
        <w:tc>
          <w:tcPr>
            <w:tcW w:w="3827" w:type="dxa"/>
            <w:gridSpan w:val="3"/>
            <w:vAlign w:val="center"/>
          </w:tcPr>
          <w:p>
            <w:pPr>
              <w:jc w:val="center"/>
              <w:rPr>
                <w:rFonts w:asciiTheme="minorEastAsia" w:hAnsiTheme="minorEastAsia"/>
                <w:color w:val="000000" w:themeColor="text1"/>
                <w:sz w:val="18"/>
                <w:szCs w:val="18"/>
              </w:rPr>
            </w:pPr>
          </w:p>
        </w:tc>
        <w:tc>
          <w:tcPr>
            <w:tcW w:w="1134"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行业</w:t>
            </w:r>
            <w:r>
              <w:rPr>
                <w:rFonts w:hint="eastAsia" w:asciiTheme="minorEastAsia" w:hAnsiTheme="minorEastAsia"/>
                <w:color w:val="000000" w:themeColor="text1"/>
                <w:sz w:val="18"/>
                <w:szCs w:val="18"/>
              </w:rPr>
              <w:t>及编号</w:t>
            </w:r>
          </w:p>
        </w:tc>
        <w:tc>
          <w:tcPr>
            <w:tcW w:w="2410" w:type="dxa"/>
            <w:gridSpan w:val="2"/>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主办单位</w:t>
            </w:r>
          </w:p>
        </w:tc>
        <w:tc>
          <w:tcPr>
            <w:tcW w:w="7371" w:type="dxa"/>
            <w:gridSpan w:val="6"/>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承办单位</w:t>
            </w:r>
          </w:p>
        </w:tc>
        <w:tc>
          <w:tcPr>
            <w:tcW w:w="7371" w:type="dxa"/>
            <w:gridSpan w:val="6"/>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8472" w:type="dxa"/>
            <w:gridSpan w:val="7"/>
            <w:vAlign w:val="center"/>
          </w:tcPr>
          <w:p>
            <w:pPr>
              <w:jc w:val="center"/>
              <w:rPr>
                <w:rFonts w:asciiTheme="minorEastAsia" w:hAnsiTheme="minorEastAsia"/>
                <w:b/>
                <w:color w:val="000000" w:themeColor="text1"/>
                <w:sz w:val="18"/>
                <w:szCs w:val="18"/>
              </w:rPr>
            </w:pPr>
            <w:r>
              <w:rPr>
                <w:rFonts w:asciiTheme="minorEastAsia" w:hAnsiTheme="minorEastAsia"/>
                <w:b/>
                <w:color w:val="000000" w:themeColor="text1"/>
                <w:sz w:val="18"/>
                <w:szCs w:val="18"/>
              </w:rPr>
              <w:t>主要指标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restart"/>
            <w:vAlign w:val="center"/>
          </w:tcPr>
          <w:p>
            <w:pPr>
              <w:rPr>
                <w:rFonts w:asciiTheme="minorEastAsia" w:hAnsiTheme="minorEastAsia"/>
                <w:color w:val="000000" w:themeColor="text1"/>
                <w:sz w:val="18"/>
                <w:szCs w:val="18"/>
              </w:rPr>
            </w:pPr>
            <w:r>
              <w:rPr>
                <w:rFonts w:asciiTheme="minorEastAsia" w:hAnsiTheme="minorEastAsia"/>
                <w:color w:val="000000" w:themeColor="text1"/>
                <w:sz w:val="18"/>
                <w:szCs w:val="18"/>
              </w:rPr>
              <w:t>举办年限</w:t>
            </w:r>
          </w:p>
        </w:tc>
        <w:tc>
          <w:tcPr>
            <w:tcW w:w="1559" w:type="dxa"/>
            <w:vMerge w:val="restart"/>
            <w:vAlign w:val="center"/>
          </w:tcPr>
          <w:p>
            <w:pPr>
              <w:jc w:val="center"/>
              <w:rPr>
                <w:rFonts w:asciiTheme="minorEastAsia" w:hAnsiTheme="minorEastAsia"/>
                <w:color w:val="000000" w:themeColor="text1"/>
                <w:sz w:val="18"/>
                <w:szCs w:val="18"/>
              </w:rPr>
            </w:pPr>
          </w:p>
        </w:tc>
        <w:tc>
          <w:tcPr>
            <w:tcW w:w="1417"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规模</w:t>
            </w:r>
            <w:r>
              <w:rPr>
                <w:rFonts w:hint="eastAsia" w:asciiTheme="minorEastAsia" w:hAnsiTheme="minorEastAsia"/>
                <w:color w:val="000000" w:themeColor="text1"/>
                <w:sz w:val="18"/>
                <w:szCs w:val="18"/>
              </w:rPr>
              <w:t>m²</w:t>
            </w:r>
          </w:p>
        </w:tc>
        <w:tc>
          <w:tcPr>
            <w:tcW w:w="851"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总面积</w:t>
            </w:r>
          </w:p>
        </w:tc>
        <w:tc>
          <w:tcPr>
            <w:tcW w:w="1134" w:type="dxa"/>
            <w:vAlign w:val="center"/>
          </w:tcPr>
          <w:p>
            <w:pPr>
              <w:jc w:val="center"/>
              <w:rPr>
                <w:rFonts w:asciiTheme="minorEastAsia" w:hAnsiTheme="minorEastAsia"/>
                <w:color w:val="000000" w:themeColor="text1"/>
                <w:sz w:val="18"/>
                <w:szCs w:val="18"/>
              </w:rPr>
            </w:pPr>
          </w:p>
        </w:tc>
        <w:tc>
          <w:tcPr>
            <w:tcW w:w="992"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本省（自治区、直辖市排名）</w:t>
            </w:r>
          </w:p>
        </w:tc>
        <w:tc>
          <w:tcPr>
            <w:tcW w:w="1418"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Merge w:val="continue"/>
            <w:vAlign w:val="center"/>
          </w:tcPr>
          <w:p>
            <w:pPr>
              <w:jc w:val="center"/>
              <w:rPr>
                <w:rFonts w:asciiTheme="minorEastAsia" w:hAnsiTheme="minorEastAsia"/>
                <w:color w:val="000000" w:themeColor="text1"/>
                <w:sz w:val="18"/>
                <w:szCs w:val="18"/>
              </w:rPr>
            </w:pPr>
          </w:p>
        </w:tc>
        <w:tc>
          <w:tcPr>
            <w:tcW w:w="1417" w:type="dxa"/>
            <w:vMerge w:val="continue"/>
            <w:vAlign w:val="center"/>
          </w:tcPr>
          <w:p>
            <w:pPr>
              <w:jc w:val="center"/>
              <w:rPr>
                <w:rFonts w:asciiTheme="minorEastAsia" w:hAnsiTheme="minorEastAsia"/>
                <w:color w:val="000000" w:themeColor="text1"/>
                <w:sz w:val="18"/>
                <w:szCs w:val="18"/>
              </w:rPr>
            </w:pPr>
          </w:p>
        </w:tc>
        <w:tc>
          <w:tcPr>
            <w:tcW w:w="85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净面积</w:t>
            </w:r>
          </w:p>
        </w:tc>
        <w:tc>
          <w:tcPr>
            <w:tcW w:w="1134" w:type="dxa"/>
            <w:vAlign w:val="center"/>
          </w:tcPr>
          <w:p>
            <w:pPr>
              <w:jc w:val="center"/>
              <w:rPr>
                <w:rFonts w:asciiTheme="minorEastAsia" w:hAnsiTheme="minorEastAsia"/>
                <w:color w:val="000000" w:themeColor="text1"/>
                <w:sz w:val="18"/>
                <w:szCs w:val="18"/>
              </w:rPr>
            </w:pPr>
          </w:p>
        </w:tc>
        <w:tc>
          <w:tcPr>
            <w:tcW w:w="992" w:type="dxa"/>
            <w:vMerge w:val="continue"/>
            <w:vAlign w:val="center"/>
          </w:tcPr>
          <w:p>
            <w:pPr>
              <w:jc w:val="center"/>
              <w:rPr>
                <w:rFonts w:asciiTheme="minorEastAsia" w:hAnsiTheme="minorEastAsia"/>
                <w:color w:val="000000" w:themeColor="text1"/>
                <w:sz w:val="18"/>
                <w:szCs w:val="18"/>
              </w:rPr>
            </w:pPr>
          </w:p>
        </w:tc>
        <w:tc>
          <w:tcPr>
            <w:tcW w:w="1418"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Merge w:val="continue"/>
            <w:vAlign w:val="center"/>
          </w:tcPr>
          <w:p>
            <w:pPr>
              <w:jc w:val="center"/>
              <w:rPr>
                <w:rFonts w:asciiTheme="minorEastAsia" w:hAnsiTheme="minorEastAsia"/>
                <w:color w:val="000000" w:themeColor="text1"/>
                <w:sz w:val="18"/>
                <w:szCs w:val="18"/>
              </w:rPr>
            </w:pPr>
          </w:p>
        </w:tc>
        <w:tc>
          <w:tcPr>
            <w:tcW w:w="1417" w:type="dxa"/>
            <w:vMerge w:val="continue"/>
            <w:vAlign w:val="center"/>
          </w:tcPr>
          <w:p>
            <w:pPr>
              <w:jc w:val="center"/>
              <w:rPr>
                <w:rFonts w:asciiTheme="minorEastAsia" w:hAnsiTheme="minorEastAsia"/>
                <w:color w:val="000000" w:themeColor="text1"/>
                <w:sz w:val="18"/>
                <w:szCs w:val="18"/>
              </w:rPr>
            </w:pPr>
          </w:p>
        </w:tc>
        <w:tc>
          <w:tcPr>
            <w:tcW w:w="85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展位数</w:t>
            </w:r>
          </w:p>
        </w:tc>
        <w:tc>
          <w:tcPr>
            <w:tcW w:w="1134" w:type="dxa"/>
            <w:vAlign w:val="center"/>
          </w:tcPr>
          <w:p>
            <w:pPr>
              <w:jc w:val="center"/>
              <w:rPr>
                <w:rFonts w:asciiTheme="minorEastAsia" w:hAnsiTheme="minorEastAsia"/>
                <w:color w:val="000000" w:themeColor="text1"/>
                <w:sz w:val="18"/>
                <w:szCs w:val="18"/>
              </w:rPr>
            </w:pPr>
          </w:p>
        </w:tc>
        <w:tc>
          <w:tcPr>
            <w:tcW w:w="992" w:type="dxa"/>
            <w:vMerge w:val="continue"/>
            <w:vAlign w:val="center"/>
          </w:tcPr>
          <w:p>
            <w:pPr>
              <w:jc w:val="center"/>
              <w:rPr>
                <w:rFonts w:asciiTheme="minorEastAsia" w:hAnsiTheme="minorEastAsia"/>
                <w:color w:val="000000" w:themeColor="text1"/>
                <w:sz w:val="18"/>
                <w:szCs w:val="18"/>
              </w:rPr>
            </w:pPr>
          </w:p>
        </w:tc>
        <w:tc>
          <w:tcPr>
            <w:tcW w:w="1418"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专业性</w:t>
            </w:r>
          </w:p>
        </w:tc>
        <w:tc>
          <w:tcPr>
            <w:tcW w:w="7371" w:type="dxa"/>
            <w:gridSpan w:val="6"/>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市场性</w:t>
            </w:r>
          </w:p>
        </w:tc>
        <w:tc>
          <w:tcPr>
            <w:tcW w:w="7371" w:type="dxa"/>
            <w:gridSpan w:val="6"/>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知识产权保护</w:t>
            </w: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组展书有要求</w:t>
            </w:r>
          </w:p>
        </w:tc>
        <w:tc>
          <w:tcPr>
            <w:tcW w:w="1417" w:type="dxa"/>
            <w:vAlign w:val="center"/>
          </w:tcPr>
          <w:p>
            <w:pPr>
              <w:jc w:val="center"/>
              <w:rPr>
                <w:rFonts w:asciiTheme="minorEastAsia" w:hAnsiTheme="minorEastAsia"/>
                <w:color w:val="000000" w:themeColor="text1"/>
                <w:sz w:val="18"/>
                <w:szCs w:val="18"/>
              </w:rPr>
            </w:pPr>
          </w:p>
        </w:tc>
        <w:tc>
          <w:tcPr>
            <w:tcW w:w="851"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信息化建设</w:t>
            </w:r>
          </w:p>
        </w:tc>
        <w:tc>
          <w:tcPr>
            <w:tcW w:w="2126"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是否有互联网站</w:t>
            </w:r>
          </w:p>
        </w:tc>
        <w:tc>
          <w:tcPr>
            <w:tcW w:w="1418"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现场设立投诉点</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实现网上报名、办证</w:t>
            </w:r>
          </w:p>
        </w:tc>
        <w:tc>
          <w:tcPr>
            <w:tcW w:w="1418"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有无侵权事件</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设立APP、客户端</w:t>
            </w:r>
          </w:p>
        </w:tc>
        <w:tc>
          <w:tcPr>
            <w:tcW w:w="1418"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restart"/>
            <w:vAlign w:val="center"/>
          </w:tcPr>
          <w:p>
            <w:pP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规范化建</w:t>
            </w: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设</w:t>
            </w: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行业报备核准</w:t>
            </w:r>
          </w:p>
        </w:tc>
        <w:tc>
          <w:tcPr>
            <w:tcW w:w="1417" w:type="dxa"/>
            <w:vAlign w:val="center"/>
          </w:tcPr>
          <w:p>
            <w:pPr>
              <w:jc w:val="center"/>
              <w:rPr>
                <w:rFonts w:asciiTheme="minorEastAsia" w:hAnsiTheme="minorEastAsia"/>
                <w:color w:val="000000" w:themeColor="text1"/>
                <w:sz w:val="18"/>
                <w:szCs w:val="18"/>
              </w:rPr>
            </w:pPr>
          </w:p>
        </w:tc>
        <w:tc>
          <w:tcPr>
            <w:tcW w:w="851"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绿色展装</w:t>
            </w:r>
          </w:p>
        </w:tc>
        <w:tc>
          <w:tcPr>
            <w:tcW w:w="2126" w:type="dxa"/>
            <w:gridSpan w:val="2"/>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有无要求</w:t>
            </w:r>
          </w:p>
        </w:tc>
        <w:tc>
          <w:tcPr>
            <w:tcW w:w="1418"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公安部门报备核准</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Merge w:val="continue"/>
            <w:vAlign w:val="center"/>
          </w:tcPr>
          <w:p>
            <w:pPr>
              <w:jc w:val="center"/>
              <w:rPr>
                <w:rFonts w:asciiTheme="minorEastAsia" w:hAnsiTheme="minorEastAsia"/>
                <w:color w:val="000000" w:themeColor="text1"/>
                <w:sz w:val="18"/>
                <w:szCs w:val="18"/>
              </w:rPr>
            </w:pPr>
          </w:p>
        </w:tc>
        <w:tc>
          <w:tcPr>
            <w:tcW w:w="1418"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布展消防核准</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绿色展装率</w:t>
            </w:r>
          </w:p>
        </w:tc>
        <w:tc>
          <w:tcPr>
            <w:tcW w:w="1418"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ind w:firstLine="90" w:firstLineChars="50"/>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服务台、展位图</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Merge w:val="continue"/>
            <w:vAlign w:val="center"/>
          </w:tcPr>
          <w:p>
            <w:pPr>
              <w:jc w:val="center"/>
              <w:rPr>
                <w:rFonts w:asciiTheme="minorEastAsia" w:hAnsiTheme="minorEastAsia"/>
                <w:color w:val="000000" w:themeColor="text1"/>
                <w:sz w:val="18"/>
                <w:szCs w:val="18"/>
              </w:rPr>
            </w:pPr>
          </w:p>
        </w:tc>
        <w:tc>
          <w:tcPr>
            <w:tcW w:w="1418"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秩序好、低噪音</w:t>
            </w:r>
          </w:p>
        </w:tc>
        <w:tc>
          <w:tcPr>
            <w:tcW w:w="1417" w:type="dxa"/>
            <w:vAlign w:val="center"/>
          </w:tcPr>
          <w:p>
            <w:pPr>
              <w:rPr>
                <w:rFonts w:asciiTheme="minorEastAsia" w:hAnsiTheme="minorEastAsia"/>
                <w:color w:val="000000" w:themeColor="text1"/>
                <w:sz w:val="18"/>
                <w:szCs w:val="18"/>
              </w:rPr>
            </w:pPr>
          </w:p>
        </w:tc>
        <w:tc>
          <w:tcPr>
            <w:tcW w:w="851"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展客商满意度</w:t>
            </w:r>
          </w:p>
        </w:tc>
        <w:tc>
          <w:tcPr>
            <w:tcW w:w="2126" w:type="dxa"/>
            <w:gridSpan w:val="2"/>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展商</w:t>
            </w:r>
          </w:p>
        </w:tc>
        <w:tc>
          <w:tcPr>
            <w:tcW w:w="1418"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纸质、电子会刊</w:t>
            </w:r>
          </w:p>
        </w:tc>
        <w:tc>
          <w:tcPr>
            <w:tcW w:w="1417" w:type="dxa"/>
            <w:vMerge w:val="restart"/>
            <w:vAlign w:val="center"/>
          </w:tcPr>
          <w:p>
            <w:pPr>
              <w:rPr>
                <w:rFonts w:asciiTheme="minorEastAsia" w:hAnsiTheme="minorEastAsia"/>
                <w:color w:val="000000" w:themeColor="text1"/>
                <w:sz w:val="18"/>
                <w:szCs w:val="18"/>
              </w:rPr>
            </w:pPr>
          </w:p>
        </w:tc>
        <w:tc>
          <w:tcPr>
            <w:tcW w:w="851" w:type="dxa"/>
            <w:vMerge w:val="continue"/>
            <w:vAlign w:val="center"/>
          </w:tcPr>
          <w:p>
            <w:pPr>
              <w:rPr>
                <w:rFonts w:asciiTheme="minorEastAsia" w:hAnsiTheme="minorEastAsia"/>
                <w:color w:val="000000" w:themeColor="text1"/>
                <w:sz w:val="18"/>
                <w:szCs w:val="18"/>
              </w:rPr>
            </w:pPr>
          </w:p>
        </w:tc>
        <w:tc>
          <w:tcPr>
            <w:tcW w:w="2126" w:type="dxa"/>
            <w:gridSpan w:val="2"/>
            <w:vMerge w:val="continue"/>
            <w:vAlign w:val="center"/>
          </w:tcPr>
          <w:p>
            <w:pPr>
              <w:rPr>
                <w:rFonts w:asciiTheme="minorEastAsia" w:hAnsiTheme="minorEastAsia"/>
                <w:color w:val="000000" w:themeColor="text1"/>
                <w:sz w:val="18"/>
                <w:szCs w:val="18"/>
              </w:rPr>
            </w:pPr>
          </w:p>
        </w:tc>
        <w:tc>
          <w:tcPr>
            <w:tcW w:w="1418" w:type="dxa"/>
            <w:vMerge w:val="continue"/>
            <w:vAlign w:val="center"/>
          </w:tcPr>
          <w:p>
            <w:pP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Merge w:val="continue"/>
            <w:vAlign w:val="center"/>
          </w:tcPr>
          <w:p>
            <w:pPr>
              <w:jc w:val="center"/>
              <w:rPr>
                <w:rFonts w:asciiTheme="minorEastAsia" w:hAnsiTheme="minorEastAsia"/>
                <w:color w:val="000000" w:themeColor="text1"/>
                <w:sz w:val="18"/>
                <w:szCs w:val="18"/>
              </w:rPr>
            </w:pPr>
          </w:p>
        </w:tc>
        <w:tc>
          <w:tcPr>
            <w:tcW w:w="1417" w:type="dxa"/>
            <w:vMerge w:val="continue"/>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客商</w:t>
            </w:r>
          </w:p>
        </w:tc>
        <w:tc>
          <w:tcPr>
            <w:tcW w:w="1418"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有无事故</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Merge w:val="continue"/>
            <w:vAlign w:val="center"/>
          </w:tcPr>
          <w:p>
            <w:pPr>
              <w:jc w:val="center"/>
              <w:rPr>
                <w:rFonts w:asciiTheme="minorEastAsia" w:hAnsiTheme="minorEastAsia"/>
                <w:color w:val="000000" w:themeColor="text1"/>
                <w:sz w:val="18"/>
                <w:szCs w:val="18"/>
              </w:rPr>
            </w:pPr>
          </w:p>
        </w:tc>
        <w:tc>
          <w:tcPr>
            <w:tcW w:w="1418"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94" w:hRule="exact"/>
        </w:trPr>
        <w:tc>
          <w:tcPr>
            <w:tcW w:w="1101"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推荐单位意见</w:t>
            </w:r>
          </w:p>
        </w:tc>
        <w:tc>
          <w:tcPr>
            <w:tcW w:w="7371" w:type="dxa"/>
            <w:gridSpan w:val="6"/>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w:t>
            </w:r>
          </w:p>
          <w:p>
            <w:pPr>
              <w:jc w:val="center"/>
              <w:rPr>
                <w:rFonts w:asciiTheme="minorEastAsia" w:hAnsiTheme="minorEastAsia"/>
                <w:color w:val="000000" w:themeColor="text1"/>
                <w:sz w:val="18"/>
                <w:szCs w:val="18"/>
              </w:rPr>
            </w:pP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w:t>
            </w:r>
          </w:p>
          <w:p>
            <w:pPr>
              <w:jc w:val="center"/>
              <w:rPr>
                <w:rFonts w:asciiTheme="minorEastAsia" w:hAnsiTheme="minorEastAsia"/>
                <w:color w:val="000000" w:themeColor="text1"/>
                <w:sz w:val="18"/>
                <w:szCs w:val="18"/>
              </w:rPr>
            </w:pP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（签章）</w:t>
            </w:r>
          </w:p>
        </w:tc>
      </w:tr>
    </w:tbl>
    <w:p>
      <w:pPr>
        <w:pStyle w:val="3"/>
        <w:spacing w:before="80" w:after="80" w:line="560" w:lineRule="exact"/>
        <w:ind w:firstLine="422" w:firstLineChars="150"/>
        <w:rPr>
          <w:rFonts w:ascii="黑体" w:hAnsi="黑体" w:eastAsia="黑体"/>
          <w:color w:val="000000" w:themeColor="text1"/>
          <w:sz w:val="28"/>
          <w:szCs w:val="28"/>
        </w:rPr>
      </w:pPr>
      <w:bookmarkStart w:id="54" w:name="_Toc453770925"/>
      <w:bookmarkStart w:id="55" w:name="_Toc451936189"/>
      <w:r>
        <w:rPr>
          <w:rFonts w:ascii="黑体" w:hAnsi="黑体" w:eastAsia="黑体"/>
          <w:color w:val="000000" w:themeColor="text1"/>
          <w:sz w:val="28"/>
          <w:szCs w:val="28"/>
        </w:rPr>
        <w:t>（</w:t>
      </w:r>
      <w:r>
        <w:rPr>
          <w:rFonts w:hint="eastAsia" w:ascii="黑体" w:hAnsi="黑体" w:eastAsia="黑体"/>
          <w:color w:val="000000" w:themeColor="text1"/>
          <w:sz w:val="28"/>
          <w:szCs w:val="28"/>
        </w:rPr>
        <w:t>五</w:t>
      </w:r>
      <w:r>
        <w:rPr>
          <w:rFonts w:ascii="黑体" w:hAnsi="黑体" w:eastAsia="黑体"/>
          <w:color w:val="000000" w:themeColor="text1"/>
          <w:sz w:val="28"/>
          <w:szCs w:val="28"/>
        </w:rPr>
        <w:t>）中国品牌展览会项目单位自荐表</w:t>
      </w:r>
      <w:bookmarkEnd w:id="54"/>
      <w:bookmarkEnd w:id="55"/>
    </w:p>
    <w:p>
      <w:pPr>
        <w:rPr>
          <w:color w:val="000000" w:themeColor="text1"/>
          <w:sz w:val="28"/>
          <w:szCs w:val="28"/>
        </w:rPr>
      </w:pPr>
      <w:r>
        <w:rPr>
          <w:rFonts w:hint="eastAsia"/>
          <w:b/>
          <w:color w:val="000000" w:themeColor="text1"/>
          <w:sz w:val="28"/>
          <w:szCs w:val="28"/>
        </w:rPr>
        <w:t>城市名称：</w:t>
      </w:r>
      <w:r>
        <w:rPr>
          <w:rFonts w:hint="eastAsia"/>
          <w:color w:val="000000" w:themeColor="text1"/>
          <w:sz w:val="28"/>
          <w:szCs w:val="28"/>
        </w:rPr>
        <w:t xml:space="preserve">                                 </w:t>
      </w:r>
      <w:r>
        <w:rPr>
          <w:rFonts w:hint="eastAsia"/>
          <w:color w:val="000000" w:themeColor="text1"/>
          <w:sz w:val="24"/>
        </w:rPr>
        <w:t xml:space="preserve">    编号：</w:t>
      </w:r>
    </w:p>
    <w:tbl>
      <w:tblPr>
        <w:tblStyle w:val="1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6"/>
        <w:gridCol w:w="1594"/>
        <w:gridCol w:w="1416"/>
        <w:gridCol w:w="868"/>
        <w:gridCol w:w="1018"/>
        <w:gridCol w:w="231"/>
        <w:gridCol w:w="878"/>
        <w:gridCol w:w="14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项目名称</w:t>
            </w:r>
          </w:p>
        </w:tc>
        <w:tc>
          <w:tcPr>
            <w:tcW w:w="3878" w:type="dxa"/>
            <w:gridSpan w:val="3"/>
            <w:vAlign w:val="center"/>
          </w:tcPr>
          <w:p>
            <w:pPr>
              <w:jc w:val="center"/>
              <w:rPr>
                <w:rFonts w:asciiTheme="minorEastAsia" w:hAnsiTheme="minorEastAsia"/>
                <w:color w:val="000000" w:themeColor="text1"/>
                <w:sz w:val="18"/>
                <w:szCs w:val="18"/>
              </w:rPr>
            </w:pPr>
          </w:p>
        </w:tc>
        <w:tc>
          <w:tcPr>
            <w:tcW w:w="1249" w:type="dxa"/>
            <w:gridSpan w:val="2"/>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行业</w:t>
            </w:r>
            <w:r>
              <w:rPr>
                <w:rFonts w:hint="eastAsia" w:asciiTheme="minorEastAsia" w:hAnsiTheme="minorEastAsia"/>
                <w:color w:val="000000" w:themeColor="text1"/>
                <w:sz w:val="18"/>
                <w:szCs w:val="18"/>
              </w:rPr>
              <w:t>及编号</w:t>
            </w:r>
          </w:p>
        </w:tc>
        <w:tc>
          <w:tcPr>
            <w:tcW w:w="2329" w:type="dxa"/>
            <w:gridSpan w:val="2"/>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主办单位</w:t>
            </w:r>
          </w:p>
        </w:tc>
        <w:tc>
          <w:tcPr>
            <w:tcW w:w="7456" w:type="dxa"/>
            <w:gridSpan w:val="7"/>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承办单位</w:t>
            </w:r>
          </w:p>
        </w:tc>
        <w:tc>
          <w:tcPr>
            <w:tcW w:w="7456" w:type="dxa"/>
            <w:gridSpan w:val="7"/>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8522" w:type="dxa"/>
            <w:gridSpan w:val="8"/>
            <w:vAlign w:val="center"/>
          </w:tcPr>
          <w:p>
            <w:pPr>
              <w:jc w:val="center"/>
              <w:rPr>
                <w:rFonts w:asciiTheme="minorEastAsia" w:hAnsiTheme="minorEastAsia"/>
                <w:b/>
                <w:color w:val="000000" w:themeColor="text1"/>
                <w:sz w:val="18"/>
                <w:szCs w:val="18"/>
              </w:rPr>
            </w:pPr>
            <w:r>
              <w:rPr>
                <w:rFonts w:asciiTheme="minorEastAsia" w:hAnsiTheme="minorEastAsia"/>
                <w:b/>
                <w:color w:val="000000" w:themeColor="text1"/>
                <w:sz w:val="18"/>
                <w:szCs w:val="18"/>
              </w:rPr>
              <w:t>主要指标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restart"/>
            <w:vAlign w:val="center"/>
          </w:tcPr>
          <w:p>
            <w:pPr>
              <w:rPr>
                <w:rFonts w:asciiTheme="minorEastAsia" w:hAnsiTheme="minorEastAsia"/>
                <w:color w:val="000000" w:themeColor="text1"/>
                <w:sz w:val="18"/>
                <w:szCs w:val="18"/>
              </w:rPr>
            </w:pPr>
            <w:r>
              <w:rPr>
                <w:rFonts w:asciiTheme="minorEastAsia" w:hAnsiTheme="minorEastAsia"/>
                <w:color w:val="000000" w:themeColor="text1"/>
                <w:sz w:val="18"/>
                <w:szCs w:val="18"/>
              </w:rPr>
              <w:t>举办年限</w:t>
            </w:r>
          </w:p>
        </w:tc>
        <w:tc>
          <w:tcPr>
            <w:tcW w:w="1594" w:type="dxa"/>
            <w:vMerge w:val="restart"/>
            <w:vAlign w:val="center"/>
          </w:tcPr>
          <w:p>
            <w:pPr>
              <w:jc w:val="center"/>
              <w:rPr>
                <w:rFonts w:asciiTheme="minorEastAsia" w:hAnsiTheme="minorEastAsia"/>
                <w:color w:val="000000" w:themeColor="text1"/>
                <w:sz w:val="18"/>
                <w:szCs w:val="18"/>
              </w:rPr>
            </w:pPr>
          </w:p>
        </w:tc>
        <w:tc>
          <w:tcPr>
            <w:tcW w:w="1416"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规模</w:t>
            </w:r>
            <w:r>
              <w:rPr>
                <w:rFonts w:hint="eastAsia" w:asciiTheme="minorEastAsia" w:hAnsiTheme="minorEastAsia"/>
                <w:color w:val="000000" w:themeColor="text1"/>
                <w:sz w:val="18"/>
                <w:szCs w:val="18"/>
              </w:rPr>
              <w:t>m²</w:t>
            </w:r>
          </w:p>
        </w:tc>
        <w:tc>
          <w:tcPr>
            <w:tcW w:w="868"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总面积</w:t>
            </w:r>
          </w:p>
        </w:tc>
        <w:tc>
          <w:tcPr>
            <w:tcW w:w="1249" w:type="dxa"/>
            <w:gridSpan w:val="2"/>
            <w:vAlign w:val="center"/>
          </w:tcPr>
          <w:p>
            <w:pPr>
              <w:jc w:val="center"/>
              <w:rPr>
                <w:rFonts w:asciiTheme="minorEastAsia" w:hAnsiTheme="minorEastAsia"/>
                <w:color w:val="000000" w:themeColor="text1"/>
                <w:sz w:val="18"/>
                <w:szCs w:val="18"/>
              </w:rPr>
            </w:pPr>
          </w:p>
        </w:tc>
        <w:tc>
          <w:tcPr>
            <w:tcW w:w="878"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全球排名</w:t>
            </w:r>
          </w:p>
        </w:tc>
        <w:tc>
          <w:tcPr>
            <w:tcW w:w="1451"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Merge w:val="continue"/>
            <w:vAlign w:val="center"/>
          </w:tcPr>
          <w:p>
            <w:pPr>
              <w:jc w:val="center"/>
              <w:rPr>
                <w:rFonts w:asciiTheme="minorEastAsia" w:hAnsiTheme="minorEastAsia"/>
                <w:color w:val="000000" w:themeColor="text1"/>
                <w:sz w:val="18"/>
                <w:szCs w:val="18"/>
              </w:rPr>
            </w:pPr>
          </w:p>
        </w:tc>
        <w:tc>
          <w:tcPr>
            <w:tcW w:w="1416" w:type="dxa"/>
            <w:vMerge w:val="continue"/>
            <w:vAlign w:val="center"/>
          </w:tcPr>
          <w:p>
            <w:pPr>
              <w:jc w:val="center"/>
              <w:rPr>
                <w:rFonts w:asciiTheme="minorEastAsia" w:hAnsiTheme="minorEastAsia"/>
                <w:color w:val="000000" w:themeColor="text1"/>
                <w:sz w:val="18"/>
                <w:szCs w:val="18"/>
              </w:rPr>
            </w:pPr>
          </w:p>
        </w:tc>
        <w:tc>
          <w:tcPr>
            <w:tcW w:w="868"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净面积</w:t>
            </w:r>
          </w:p>
        </w:tc>
        <w:tc>
          <w:tcPr>
            <w:tcW w:w="1249" w:type="dxa"/>
            <w:gridSpan w:val="2"/>
            <w:vAlign w:val="center"/>
          </w:tcPr>
          <w:p>
            <w:pPr>
              <w:jc w:val="center"/>
              <w:rPr>
                <w:rFonts w:asciiTheme="minorEastAsia" w:hAnsiTheme="minorEastAsia"/>
                <w:color w:val="000000" w:themeColor="text1"/>
                <w:sz w:val="18"/>
                <w:szCs w:val="18"/>
              </w:rPr>
            </w:pPr>
          </w:p>
        </w:tc>
        <w:tc>
          <w:tcPr>
            <w:tcW w:w="878" w:type="dxa"/>
            <w:vMerge w:val="continue"/>
            <w:vAlign w:val="center"/>
          </w:tcPr>
          <w:p>
            <w:pPr>
              <w:jc w:val="center"/>
              <w:rPr>
                <w:rFonts w:asciiTheme="minorEastAsia" w:hAnsiTheme="minorEastAsia"/>
                <w:color w:val="000000" w:themeColor="text1"/>
                <w:sz w:val="18"/>
                <w:szCs w:val="18"/>
              </w:rPr>
            </w:pPr>
          </w:p>
        </w:tc>
        <w:tc>
          <w:tcPr>
            <w:tcW w:w="1451"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Merge w:val="continue"/>
            <w:vAlign w:val="center"/>
          </w:tcPr>
          <w:p>
            <w:pPr>
              <w:jc w:val="center"/>
              <w:rPr>
                <w:rFonts w:asciiTheme="minorEastAsia" w:hAnsiTheme="minorEastAsia"/>
                <w:color w:val="000000" w:themeColor="text1"/>
                <w:sz w:val="18"/>
                <w:szCs w:val="18"/>
              </w:rPr>
            </w:pPr>
          </w:p>
        </w:tc>
        <w:tc>
          <w:tcPr>
            <w:tcW w:w="1416" w:type="dxa"/>
            <w:vMerge w:val="continue"/>
            <w:vAlign w:val="center"/>
          </w:tcPr>
          <w:p>
            <w:pPr>
              <w:jc w:val="center"/>
              <w:rPr>
                <w:rFonts w:asciiTheme="minorEastAsia" w:hAnsiTheme="minorEastAsia"/>
                <w:color w:val="000000" w:themeColor="text1"/>
                <w:sz w:val="18"/>
                <w:szCs w:val="18"/>
              </w:rPr>
            </w:pPr>
          </w:p>
        </w:tc>
        <w:tc>
          <w:tcPr>
            <w:tcW w:w="868"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展位数</w:t>
            </w:r>
          </w:p>
        </w:tc>
        <w:tc>
          <w:tcPr>
            <w:tcW w:w="1249" w:type="dxa"/>
            <w:gridSpan w:val="2"/>
            <w:vAlign w:val="center"/>
          </w:tcPr>
          <w:p>
            <w:pPr>
              <w:jc w:val="center"/>
              <w:rPr>
                <w:rFonts w:asciiTheme="minorEastAsia" w:hAnsiTheme="minorEastAsia"/>
                <w:color w:val="000000" w:themeColor="text1"/>
                <w:sz w:val="18"/>
                <w:szCs w:val="18"/>
              </w:rPr>
            </w:pPr>
          </w:p>
        </w:tc>
        <w:tc>
          <w:tcPr>
            <w:tcW w:w="878" w:type="dxa"/>
            <w:vMerge w:val="continue"/>
            <w:vAlign w:val="center"/>
          </w:tcPr>
          <w:p>
            <w:pPr>
              <w:jc w:val="center"/>
              <w:rPr>
                <w:rFonts w:asciiTheme="minorEastAsia" w:hAnsiTheme="minorEastAsia"/>
                <w:color w:val="000000" w:themeColor="text1"/>
                <w:sz w:val="18"/>
                <w:szCs w:val="18"/>
              </w:rPr>
            </w:pPr>
          </w:p>
        </w:tc>
        <w:tc>
          <w:tcPr>
            <w:tcW w:w="1451"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专业性</w:t>
            </w:r>
          </w:p>
        </w:tc>
        <w:tc>
          <w:tcPr>
            <w:tcW w:w="3010" w:type="dxa"/>
            <w:gridSpan w:val="2"/>
            <w:vAlign w:val="center"/>
          </w:tcPr>
          <w:p>
            <w:pPr>
              <w:jc w:val="center"/>
              <w:rPr>
                <w:rFonts w:asciiTheme="minorEastAsia" w:hAnsiTheme="minorEastAsia"/>
                <w:color w:val="000000" w:themeColor="text1"/>
                <w:sz w:val="18"/>
                <w:szCs w:val="18"/>
              </w:rPr>
            </w:pPr>
          </w:p>
        </w:tc>
        <w:tc>
          <w:tcPr>
            <w:tcW w:w="868"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市场性</w:t>
            </w:r>
          </w:p>
        </w:tc>
        <w:tc>
          <w:tcPr>
            <w:tcW w:w="3578" w:type="dxa"/>
            <w:gridSpan w:val="4"/>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restart"/>
            <w:vAlign w:val="center"/>
          </w:tcPr>
          <w:p>
            <w:pPr>
              <w:ind w:firstLine="90" w:firstLineChars="50"/>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国际性</w:t>
            </w: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参展国家、地区数</w:t>
            </w:r>
          </w:p>
        </w:tc>
        <w:tc>
          <w:tcPr>
            <w:tcW w:w="2284" w:type="dxa"/>
            <w:gridSpan w:val="2"/>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境外客商国家、地区数</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境外展位比</w:t>
            </w:r>
          </w:p>
        </w:tc>
        <w:tc>
          <w:tcPr>
            <w:tcW w:w="2284" w:type="dxa"/>
            <w:gridSpan w:val="2"/>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境外客商比</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知识产权保护</w:t>
            </w: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组展书有要求</w:t>
            </w:r>
          </w:p>
        </w:tc>
        <w:tc>
          <w:tcPr>
            <w:tcW w:w="1416" w:type="dxa"/>
            <w:vAlign w:val="center"/>
          </w:tcPr>
          <w:p>
            <w:pPr>
              <w:jc w:val="center"/>
              <w:rPr>
                <w:rFonts w:asciiTheme="minorEastAsia" w:hAnsiTheme="minorEastAsia"/>
                <w:color w:val="000000" w:themeColor="text1"/>
                <w:sz w:val="18"/>
                <w:szCs w:val="18"/>
              </w:rPr>
            </w:pPr>
          </w:p>
        </w:tc>
        <w:tc>
          <w:tcPr>
            <w:tcW w:w="86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信息化建设</w:t>
            </w: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是否有双语官网、网址</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现场设立投诉点</w:t>
            </w:r>
          </w:p>
        </w:tc>
        <w:tc>
          <w:tcPr>
            <w:tcW w:w="1416" w:type="dxa"/>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实现网上报名、办证</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有无侵权事件</w:t>
            </w:r>
          </w:p>
        </w:tc>
        <w:tc>
          <w:tcPr>
            <w:tcW w:w="1416" w:type="dxa"/>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设立APP、客户端</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restart"/>
            <w:vAlign w:val="center"/>
          </w:tcPr>
          <w:p>
            <w:pP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规范化建</w:t>
            </w: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设</w:t>
            </w: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行业报备核准</w:t>
            </w:r>
          </w:p>
        </w:tc>
        <w:tc>
          <w:tcPr>
            <w:tcW w:w="1416" w:type="dxa"/>
            <w:vAlign w:val="center"/>
          </w:tcPr>
          <w:p>
            <w:pPr>
              <w:jc w:val="center"/>
              <w:rPr>
                <w:rFonts w:asciiTheme="minorEastAsia" w:hAnsiTheme="minorEastAsia"/>
                <w:color w:val="000000" w:themeColor="text1"/>
                <w:sz w:val="18"/>
                <w:szCs w:val="18"/>
              </w:rPr>
            </w:pPr>
          </w:p>
        </w:tc>
        <w:tc>
          <w:tcPr>
            <w:tcW w:w="86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绿色展装</w:t>
            </w: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有无要求</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4"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公安部门报备核准</w:t>
            </w:r>
          </w:p>
        </w:tc>
        <w:tc>
          <w:tcPr>
            <w:tcW w:w="1416" w:type="dxa"/>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绿色展装率</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布展消防核准</w:t>
            </w:r>
          </w:p>
        </w:tc>
        <w:tc>
          <w:tcPr>
            <w:tcW w:w="1416" w:type="dxa"/>
            <w:vAlign w:val="center"/>
          </w:tcPr>
          <w:p>
            <w:pPr>
              <w:jc w:val="center"/>
              <w:rPr>
                <w:rFonts w:asciiTheme="minorEastAsia" w:hAnsiTheme="minorEastAsia"/>
                <w:color w:val="000000" w:themeColor="text1"/>
                <w:sz w:val="18"/>
                <w:szCs w:val="18"/>
              </w:rPr>
            </w:pPr>
          </w:p>
        </w:tc>
        <w:tc>
          <w:tcPr>
            <w:tcW w:w="86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展客商满意度</w:t>
            </w: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展商</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ind w:firstLine="90" w:firstLineChars="50"/>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服务台、展位图</w:t>
            </w:r>
          </w:p>
        </w:tc>
        <w:tc>
          <w:tcPr>
            <w:tcW w:w="1416" w:type="dxa"/>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2127" w:type="dxa"/>
            <w:gridSpan w:val="3"/>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客商</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秩序好、低噪音</w:t>
            </w:r>
          </w:p>
        </w:tc>
        <w:tc>
          <w:tcPr>
            <w:tcW w:w="1416" w:type="dxa"/>
            <w:vAlign w:val="center"/>
          </w:tcPr>
          <w:p>
            <w:pPr>
              <w:jc w:val="center"/>
              <w:rPr>
                <w:rFonts w:asciiTheme="minorEastAsia" w:hAnsiTheme="minorEastAsia"/>
                <w:color w:val="000000" w:themeColor="text1"/>
                <w:sz w:val="18"/>
                <w:szCs w:val="18"/>
              </w:rPr>
            </w:pPr>
          </w:p>
        </w:tc>
        <w:tc>
          <w:tcPr>
            <w:tcW w:w="86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社会影响力</w:t>
            </w:r>
          </w:p>
        </w:tc>
        <w:tc>
          <w:tcPr>
            <w:tcW w:w="101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论坛、研讨</w:t>
            </w:r>
          </w:p>
        </w:tc>
        <w:tc>
          <w:tcPr>
            <w:tcW w:w="1109"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场次</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纸质、电子会刊</w:t>
            </w:r>
          </w:p>
        </w:tc>
        <w:tc>
          <w:tcPr>
            <w:tcW w:w="1416" w:type="dxa"/>
            <w:vMerge w:val="restart"/>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1018" w:type="dxa"/>
            <w:vMerge w:val="continue"/>
            <w:vAlign w:val="center"/>
          </w:tcPr>
          <w:p>
            <w:pPr>
              <w:jc w:val="center"/>
              <w:rPr>
                <w:rFonts w:asciiTheme="minorEastAsia" w:hAnsiTheme="minorEastAsia"/>
                <w:color w:val="000000" w:themeColor="text1"/>
                <w:sz w:val="18"/>
                <w:szCs w:val="18"/>
              </w:rPr>
            </w:pPr>
          </w:p>
        </w:tc>
        <w:tc>
          <w:tcPr>
            <w:tcW w:w="1109"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档次</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Merge w:val="continue"/>
            <w:vAlign w:val="center"/>
          </w:tcPr>
          <w:p>
            <w:pPr>
              <w:jc w:val="center"/>
              <w:rPr>
                <w:rFonts w:asciiTheme="minorEastAsia" w:hAnsiTheme="minorEastAsia"/>
                <w:color w:val="000000" w:themeColor="text1"/>
                <w:sz w:val="18"/>
                <w:szCs w:val="18"/>
              </w:rPr>
            </w:pPr>
          </w:p>
        </w:tc>
        <w:tc>
          <w:tcPr>
            <w:tcW w:w="1416" w:type="dxa"/>
            <w:vMerge w:val="continue"/>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1018"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媒体</w:t>
            </w:r>
          </w:p>
        </w:tc>
        <w:tc>
          <w:tcPr>
            <w:tcW w:w="1109"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境外媒体</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1" w:hRule="exact"/>
        </w:trPr>
        <w:tc>
          <w:tcPr>
            <w:tcW w:w="1066" w:type="dxa"/>
            <w:vMerge w:val="continue"/>
            <w:vAlign w:val="center"/>
          </w:tcPr>
          <w:p>
            <w:pPr>
              <w:jc w:val="center"/>
              <w:rPr>
                <w:rFonts w:asciiTheme="minorEastAsia" w:hAnsiTheme="minorEastAsia"/>
                <w:color w:val="000000" w:themeColor="text1"/>
                <w:sz w:val="18"/>
                <w:szCs w:val="18"/>
              </w:rPr>
            </w:pPr>
          </w:p>
        </w:tc>
        <w:tc>
          <w:tcPr>
            <w:tcW w:w="1594"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有无事故</w:t>
            </w:r>
          </w:p>
        </w:tc>
        <w:tc>
          <w:tcPr>
            <w:tcW w:w="1416" w:type="dxa"/>
            <w:vAlign w:val="center"/>
          </w:tcPr>
          <w:p>
            <w:pPr>
              <w:jc w:val="center"/>
              <w:rPr>
                <w:rFonts w:asciiTheme="minorEastAsia" w:hAnsiTheme="minorEastAsia"/>
                <w:color w:val="000000" w:themeColor="text1"/>
                <w:sz w:val="18"/>
                <w:szCs w:val="18"/>
              </w:rPr>
            </w:pPr>
          </w:p>
        </w:tc>
        <w:tc>
          <w:tcPr>
            <w:tcW w:w="868" w:type="dxa"/>
            <w:vMerge w:val="continue"/>
            <w:vAlign w:val="center"/>
          </w:tcPr>
          <w:p>
            <w:pPr>
              <w:jc w:val="center"/>
              <w:rPr>
                <w:rFonts w:asciiTheme="minorEastAsia" w:hAnsiTheme="minorEastAsia"/>
                <w:color w:val="000000" w:themeColor="text1"/>
                <w:sz w:val="18"/>
                <w:szCs w:val="18"/>
              </w:rPr>
            </w:pPr>
          </w:p>
        </w:tc>
        <w:tc>
          <w:tcPr>
            <w:tcW w:w="1018" w:type="dxa"/>
            <w:vMerge w:val="continue"/>
            <w:vAlign w:val="center"/>
          </w:tcPr>
          <w:p>
            <w:pPr>
              <w:jc w:val="center"/>
              <w:rPr>
                <w:rFonts w:asciiTheme="minorEastAsia" w:hAnsiTheme="minorEastAsia"/>
                <w:color w:val="000000" w:themeColor="text1"/>
                <w:sz w:val="18"/>
                <w:szCs w:val="18"/>
              </w:rPr>
            </w:pPr>
          </w:p>
        </w:tc>
        <w:tc>
          <w:tcPr>
            <w:tcW w:w="1109"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国家级媒体</w:t>
            </w:r>
          </w:p>
        </w:tc>
        <w:tc>
          <w:tcPr>
            <w:tcW w:w="1451"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6" w:hRule="exact"/>
        </w:trPr>
        <w:tc>
          <w:tcPr>
            <w:tcW w:w="1066"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自荐单位意见</w:t>
            </w:r>
          </w:p>
        </w:tc>
        <w:tc>
          <w:tcPr>
            <w:tcW w:w="7456" w:type="dxa"/>
            <w:gridSpan w:val="7"/>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w:t>
            </w:r>
          </w:p>
          <w:p>
            <w:pPr>
              <w:jc w:val="center"/>
              <w:rPr>
                <w:rFonts w:asciiTheme="minorEastAsia" w:hAnsiTheme="minorEastAsia"/>
                <w:color w:val="000000" w:themeColor="text1"/>
                <w:sz w:val="18"/>
                <w:szCs w:val="18"/>
              </w:rPr>
            </w:pP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w:t>
            </w: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（签章）</w:t>
            </w:r>
          </w:p>
        </w:tc>
      </w:tr>
    </w:tbl>
    <w:p>
      <w:pPr>
        <w:widowControl/>
        <w:rPr>
          <w:rFonts w:ascii="华文仿宋" w:hAnsi="华文仿宋" w:eastAsia="华文仿宋"/>
          <w:color w:val="000000" w:themeColor="text1"/>
          <w:sz w:val="2"/>
          <w:szCs w:val="2"/>
        </w:rPr>
      </w:pPr>
    </w:p>
    <w:p>
      <w:pPr>
        <w:pStyle w:val="3"/>
        <w:spacing w:before="80" w:after="80" w:line="560" w:lineRule="exact"/>
        <w:ind w:firstLine="422" w:firstLineChars="150"/>
        <w:rPr>
          <w:rFonts w:ascii="黑体" w:hAnsi="黑体" w:eastAsia="黑体"/>
          <w:color w:val="000000" w:themeColor="text1"/>
          <w:sz w:val="28"/>
          <w:szCs w:val="28"/>
        </w:rPr>
      </w:pPr>
      <w:bookmarkStart w:id="56" w:name="_Toc451936191"/>
      <w:bookmarkStart w:id="57" w:name="_Toc453770926"/>
      <w:r>
        <w:rPr>
          <w:rFonts w:ascii="黑体" w:hAnsi="黑体" w:eastAsia="黑体"/>
          <w:color w:val="000000" w:themeColor="text1"/>
          <w:sz w:val="28"/>
          <w:szCs w:val="28"/>
        </w:rPr>
        <w:t>（</w:t>
      </w:r>
      <w:r>
        <w:rPr>
          <w:rFonts w:hint="eastAsia" w:ascii="黑体" w:hAnsi="黑体" w:eastAsia="黑体"/>
          <w:color w:val="000000" w:themeColor="text1"/>
          <w:sz w:val="28"/>
          <w:szCs w:val="28"/>
        </w:rPr>
        <w:t>六</w:t>
      </w:r>
      <w:r>
        <w:rPr>
          <w:rFonts w:ascii="黑体" w:hAnsi="黑体" w:eastAsia="黑体"/>
          <w:color w:val="000000" w:themeColor="text1"/>
          <w:sz w:val="28"/>
          <w:szCs w:val="28"/>
        </w:rPr>
        <w:t>）中国区域性（</w:t>
      </w:r>
      <w:r>
        <w:rPr>
          <w:rFonts w:hint="eastAsia" w:ascii="黑体" w:hAnsi="黑体" w:eastAsia="黑体"/>
          <w:color w:val="000000" w:themeColor="text1"/>
          <w:sz w:val="28"/>
          <w:szCs w:val="28"/>
        </w:rPr>
        <w:t>市</w:t>
      </w:r>
      <w:r>
        <w:rPr>
          <w:rFonts w:ascii="黑体" w:hAnsi="黑体" w:eastAsia="黑体"/>
          <w:color w:val="000000" w:themeColor="text1"/>
          <w:sz w:val="28"/>
          <w:szCs w:val="28"/>
        </w:rPr>
        <w:t>级）品牌展览会项目单位自荐表</w:t>
      </w:r>
      <w:bookmarkEnd w:id="56"/>
      <w:bookmarkEnd w:id="57"/>
    </w:p>
    <w:p>
      <w:pPr>
        <w:rPr>
          <w:color w:val="000000" w:themeColor="text1"/>
          <w:sz w:val="28"/>
          <w:szCs w:val="28"/>
        </w:rPr>
      </w:pPr>
      <w:r>
        <w:rPr>
          <w:rFonts w:hint="eastAsia"/>
          <w:b/>
          <w:color w:val="000000" w:themeColor="text1"/>
          <w:sz w:val="28"/>
          <w:szCs w:val="28"/>
        </w:rPr>
        <w:t>城市名称：</w:t>
      </w:r>
      <w:r>
        <w:rPr>
          <w:rFonts w:hint="eastAsia"/>
          <w:color w:val="000000" w:themeColor="text1"/>
          <w:sz w:val="28"/>
          <w:szCs w:val="28"/>
        </w:rPr>
        <w:t xml:space="preserve">                                 </w:t>
      </w:r>
      <w:r>
        <w:rPr>
          <w:rFonts w:hint="eastAsia"/>
          <w:color w:val="000000" w:themeColor="text1"/>
          <w:sz w:val="24"/>
        </w:rPr>
        <w:t xml:space="preserve">    编号：</w:t>
      </w:r>
    </w:p>
    <w:tbl>
      <w:tblPr>
        <w:tblStyle w:val="16"/>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1559"/>
        <w:gridCol w:w="1417"/>
        <w:gridCol w:w="851"/>
        <w:gridCol w:w="1134"/>
        <w:gridCol w:w="992"/>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项目名称</w:t>
            </w:r>
          </w:p>
        </w:tc>
        <w:tc>
          <w:tcPr>
            <w:tcW w:w="3827" w:type="dxa"/>
            <w:gridSpan w:val="3"/>
            <w:vAlign w:val="center"/>
          </w:tcPr>
          <w:p>
            <w:pPr>
              <w:jc w:val="center"/>
              <w:rPr>
                <w:rFonts w:asciiTheme="minorEastAsia" w:hAnsiTheme="minorEastAsia"/>
                <w:color w:val="000000" w:themeColor="text1"/>
                <w:sz w:val="18"/>
                <w:szCs w:val="18"/>
              </w:rPr>
            </w:pPr>
          </w:p>
        </w:tc>
        <w:tc>
          <w:tcPr>
            <w:tcW w:w="1134" w:type="dxa"/>
            <w:vAlign w:val="center"/>
          </w:tcPr>
          <w:p>
            <w:pPr>
              <w:ind w:right="-107" w:rightChars="-51"/>
              <w:rPr>
                <w:rFonts w:asciiTheme="minorEastAsia" w:hAnsiTheme="minorEastAsia"/>
                <w:color w:val="000000" w:themeColor="text1"/>
                <w:sz w:val="18"/>
                <w:szCs w:val="18"/>
              </w:rPr>
            </w:pPr>
            <w:r>
              <w:rPr>
                <w:rFonts w:asciiTheme="minorEastAsia" w:hAnsiTheme="minorEastAsia"/>
                <w:color w:val="000000" w:themeColor="text1"/>
                <w:sz w:val="18"/>
                <w:szCs w:val="18"/>
              </w:rPr>
              <w:t>行业</w:t>
            </w:r>
            <w:r>
              <w:rPr>
                <w:rFonts w:hint="eastAsia" w:asciiTheme="minorEastAsia" w:hAnsiTheme="minorEastAsia"/>
                <w:color w:val="000000" w:themeColor="text1"/>
                <w:sz w:val="18"/>
                <w:szCs w:val="18"/>
              </w:rPr>
              <w:t>及编码</w:t>
            </w:r>
          </w:p>
        </w:tc>
        <w:tc>
          <w:tcPr>
            <w:tcW w:w="2410" w:type="dxa"/>
            <w:gridSpan w:val="2"/>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主办单位</w:t>
            </w:r>
          </w:p>
        </w:tc>
        <w:tc>
          <w:tcPr>
            <w:tcW w:w="7371" w:type="dxa"/>
            <w:gridSpan w:val="6"/>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承办单位</w:t>
            </w:r>
          </w:p>
        </w:tc>
        <w:tc>
          <w:tcPr>
            <w:tcW w:w="7371" w:type="dxa"/>
            <w:gridSpan w:val="6"/>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8472" w:type="dxa"/>
            <w:gridSpan w:val="7"/>
            <w:vAlign w:val="center"/>
          </w:tcPr>
          <w:p>
            <w:pPr>
              <w:jc w:val="center"/>
              <w:rPr>
                <w:rFonts w:asciiTheme="minorEastAsia" w:hAnsiTheme="minorEastAsia"/>
                <w:b/>
                <w:color w:val="000000" w:themeColor="text1"/>
                <w:sz w:val="18"/>
                <w:szCs w:val="18"/>
              </w:rPr>
            </w:pPr>
            <w:r>
              <w:rPr>
                <w:rFonts w:asciiTheme="minorEastAsia" w:hAnsiTheme="minorEastAsia"/>
                <w:b/>
                <w:color w:val="000000" w:themeColor="text1"/>
                <w:sz w:val="18"/>
                <w:szCs w:val="18"/>
              </w:rPr>
              <w:t>主要指标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restart"/>
            <w:vAlign w:val="center"/>
          </w:tcPr>
          <w:p>
            <w:pPr>
              <w:rPr>
                <w:rFonts w:asciiTheme="minorEastAsia" w:hAnsiTheme="minorEastAsia"/>
                <w:color w:val="000000" w:themeColor="text1"/>
                <w:sz w:val="18"/>
                <w:szCs w:val="18"/>
              </w:rPr>
            </w:pPr>
            <w:r>
              <w:rPr>
                <w:rFonts w:asciiTheme="minorEastAsia" w:hAnsiTheme="minorEastAsia"/>
                <w:color w:val="000000" w:themeColor="text1"/>
                <w:sz w:val="18"/>
                <w:szCs w:val="18"/>
              </w:rPr>
              <w:t>举办年限</w:t>
            </w:r>
          </w:p>
        </w:tc>
        <w:tc>
          <w:tcPr>
            <w:tcW w:w="1559" w:type="dxa"/>
            <w:vMerge w:val="restart"/>
            <w:vAlign w:val="center"/>
          </w:tcPr>
          <w:p>
            <w:pPr>
              <w:jc w:val="center"/>
              <w:rPr>
                <w:rFonts w:asciiTheme="minorEastAsia" w:hAnsiTheme="minorEastAsia"/>
                <w:color w:val="000000" w:themeColor="text1"/>
                <w:sz w:val="18"/>
                <w:szCs w:val="18"/>
              </w:rPr>
            </w:pPr>
          </w:p>
        </w:tc>
        <w:tc>
          <w:tcPr>
            <w:tcW w:w="1417"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规模</w:t>
            </w:r>
            <w:r>
              <w:rPr>
                <w:rFonts w:hint="eastAsia" w:asciiTheme="minorEastAsia" w:hAnsiTheme="minorEastAsia"/>
                <w:color w:val="000000" w:themeColor="text1"/>
                <w:sz w:val="18"/>
                <w:szCs w:val="18"/>
              </w:rPr>
              <w:t>m²</w:t>
            </w:r>
          </w:p>
        </w:tc>
        <w:tc>
          <w:tcPr>
            <w:tcW w:w="851"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总面积</w:t>
            </w:r>
          </w:p>
        </w:tc>
        <w:tc>
          <w:tcPr>
            <w:tcW w:w="1134" w:type="dxa"/>
            <w:vAlign w:val="center"/>
          </w:tcPr>
          <w:p>
            <w:pPr>
              <w:jc w:val="center"/>
              <w:rPr>
                <w:rFonts w:asciiTheme="minorEastAsia" w:hAnsiTheme="minorEastAsia"/>
                <w:color w:val="000000" w:themeColor="text1"/>
                <w:sz w:val="18"/>
                <w:szCs w:val="18"/>
              </w:rPr>
            </w:pPr>
          </w:p>
        </w:tc>
        <w:tc>
          <w:tcPr>
            <w:tcW w:w="992"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本省（自治区、直辖市排名）</w:t>
            </w:r>
          </w:p>
        </w:tc>
        <w:tc>
          <w:tcPr>
            <w:tcW w:w="1418"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Merge w:val="continue"/>
            <w:vAlign w:val="center"/>
          </w:tcPr>
          <w:p>
            <w:pPr>
              <w:jc w:val="center"/>
              <w:rPr>
                <w:rFonts w:asciiTheme="minorEastAsia" w:hAnsiTheme="minorEastAsia"/>
                <w:color w:val="000000" w:themeColor="text1"/>
                <w:sz w:val="18"/>
                <w:szCs w:val="18"/>
              </w:rPr>
            </w:pPr>
          </w:p>
        </w:tc>
        <w:tc>
          <w:tcPr>
            <w:tcW w:w="1417" w:type="dxa"/>
            <w:vMerge w:val="continue"/>
            <w:vAlign w:val="center"/>
          </w:tcPr>
          <w:p>
            <w:pPr>
              <w:jc w:val="center"/>
              <w:rPr>
                <w:rFonts w:asciiTheme="minorEastAsia" w:hAnsiTheme="minorEastAsia"/>
                <w:color w:val="000000" w:themeColor="text1"/>
                <w:sz w:val="18"/>
                <w:szCs w:val="18"/>
              </w:rPr>
            </w:pPr>
          </w:p>
        </w:tc>
        <w:tc>
          <w:tcPr>
            <w:tcW w:w="85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净面积</w:t>
            </w:r>
          </w:p>
        </w:tc>
        <w:tc>
          <w:tcPr>
            <w:tcW w:w="1134" w:type="dxa"/>
            <w:vAlign w:val="center"/>
          </w:tcPr>
          <w:p>
            <w:pPr>
              <w:jc w:val="center"/>
              <w:rPr>
                <w:rFonts w:asciiTheme="minorEastAsia" w:hAnsiTheme="minorEastAsia"/>
                <w:color w:val="000000" w:themeColor="text1"/>
                <w:sz w:val="18"/>
                <w:szCs w:val="18"/>
              </w:rPr>
            </w:pPr>
          </w:p>
        </w:tc>
        <w:tc>
          <w:tcPr>
            <w:tcW w:w="992" w:type="dxa"/>
            <w:vMerge w:val="continue"/>
            <w:vAlign w:val="center"/>
          </w:tcPr>
          <w:p>
            <w:pPr>
              <w:jc w:val="center"/>
              <w:rPr>
                <w:rFonts w:asciiTheme="minorEastAsia" w:hAnsiTheme="minorEastAsia"/>
                <w:color w:val="000000" w:themeColor="text1"/>
                <w:sz w:val="18"/>
                <w:szCs w:val="18"/>
              </w:rPr>
            </w:pPr>
          </w:p>
        </w:tc>
        <w:tc>
          <w:tcPr>
            <w:tcW w:w="1418"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Merge w:val="continue"/>
            <w:vAlign w:val="center"/>
          </w:tcPr>
          <w:p>
            <w:pPr>
              <w:jc w:val="center"/>
              <w:rPr>
                <w:rFonts w:asciiTheme="minorEastAsia" w:hAnsiTheme="minorEastAsia"/>
                <w:color w:val="000000" w:themeColor="text1"/>
                <w:sz w:val="18"/>
                <w:szCs w:val="18"/>
              </w:rPr>
            </w:pPr>
          </w:p>
        </w:tc>
        <w:tc>
          <w:tcPr>
            <w:tcW w:w="1417" w:type="dxa"/>
            <w:vMerge w:val="continue"/>
            <w:vAlign w:val="center"/>
          </w:tcPr>
          <w:p>
            <w:pPr>
              <w:jc w:val="center"/>
              <w:rPr>
                <w:rFonts w:asciiTheme="minorEastAsia" w:hAnsiTheme="minorEastAsia"/>
                <w:color w:val="000000" w:themeColor="text1"/>
                <w:sz w:val="18"/>
                <w:szCs w:val="18"/>
              </w:rPr>
            </w:pPr>
          </w:p>
        </w:tc>
        <w:tc>
          <w:tcPr>
            <w:tcW w:w="85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展位数</w:t>
            </w:r>
          </w:p>
        </w:tc>
        <w:tc>
          <w:tcPr>
            <w:tcW w:w="1134" w:type="dxa"/>
            <w:vAlign w:val="center"/>
          </w:tcPr>
          <w:p>
            <w:pPr>
              <w:jc w:val="center"/>
              <w:rPr>
                <w:rFonts w:asciiTheme="minorEastAsia" w:hAnsiTheme="minorEastAsia"/>
                <w:color w:val="000000" w:themeColor="text1"/>
                <w:sz w:val="18"/>
                <w:szCs w:val="18"/>
              </w:rPr>
            </w:pPr>
          </w:p>
        </w:tc>
        <w:tc>
          <w:tcPr>
            <w:tcW w:w="992" w:type="dxa"/>
            <w:vMerge w:val="continue"/>
            <w:vAlign w:val="center"/>
          </w:tcPr>
          <w:p>
            <w:pPr>
              <w:jc w:val="center"/>
              <w:rPr>
                <w:rFonts w:asciiTheme="minorEastAsia" w:hAnsiTheme="minorEastAsia"/>
                <w:color w:val="000000" w:themeColor="text1"/>
                <w:sz w:val="18"/>
                <w:szCs w:val="18"/>
              </w:rPr>
            </w:pPr>
          </w:p>
        </w:tc>
        <w:tc>
          <w:tcPr>
            <w:tcW w:w="1418"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专业性</w:t>
            </w:r>
          </w:p>
        </w:tc>
        <w:tc>
          <w:tcPr>
            <w:tcW w:w="7371" w:type="dxa"/>
            <w:gridSpan w:val="6"/>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市场性</w:t>
            </w:r>
          </w:p>
        </w:tc>
        <w:tc>
          <w:tcPr>
            <w:tcW w:w="7371" w:type="dxa"/>
            <w:gridSpan w:val="6"/>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知识产权保护</w:t>
            </w: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组展书有要求</w:t>
            </w:r>
          </w:p>
        </w:tc>
        <w:tc>
          <w:tcPr>
            <w:tcW w:w="1417" w:type="dxa"/>
            <w:vAlign w:val="center"/>
          </w:tcPr>
          <w:p>
            <w:pPr>
              <w:jc w:val="center"/>
              <w:rPr>
                <w:rFonts w:asciiTheme="minorEastAsia" w:hAnsiTheme="minorEastAsia"/>
                <w:color w:val="000000" w:themeColor="text1"/>
                <w:sz w:val="18"/>
                <w:szCs w:val="18"/>
              </w:rPr>
            </w:pPr>
          </w:p>
        </w:tc>
        <w:tc>
          <w:tcPr>
            <w:tcW w:w="851"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信息化建设</w:t>
            </w:r>
          </w:p>
        </w:tc>
        <w:tc>
          <w:tcPr>
            <w:tcW w:w="2126"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是否有互联网站</w:t>
            </w:r>
          </w:p>
        </w:tc>
        <w:tc>
          <w:tcPr>
            <w:tcW w:w="1418"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现场设立投诉点</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实现网上报名、办证</w:t>
            </w:r>
          </w:p>
        </w:tc>
        <w:tc>
          <w:tcPr>
            <w:tcW w:w="1418"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有无侵权事件</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设立APP、客户端</w:t>
            </w:r>
          </w:p>
        </w:tc>
        <w:tc>
          <w:tcPr>
            <w:tcW w:w="1418" w:type="dxa"/>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restart"/>
            <w:vAlign w:val="center"/>
          </w:tcPr>
          <w:p>
            <w:pP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规范化建</w:t>
            </w: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设</w:t>
            </w: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行业报备核准</w:t>
            </w:r>
          </w:p>
        </w:tc>
        <w:tc>
          <w:tcPr>
            <w:tcW w:w="1417" w:type="dxa"/>
            <w:vAlign w:val="center"/>
          </w:tcPr>
          <w:p>
            <w:pPr>
              <w:jc w:val="center"/>
              <w:rPr>
                <w:rFonts w:asciiTheme="minorEastAsia" w:hAnsiTheme="minorEastAsia"/>
                <w:color w:val="000000" w:themeColor="text1"/>
                <w:sz w:val="18"/>
                <w:szCs w:val="18"/>
              </w:rPr>
            </w:pPr>
          </w:p>
        </w:tc>
        <w:tc>
          <w:tcPr>
            <w:tcW w:w="851"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绿色展装</w:t>
            </w:r>
          </w:p>
        </w:tc>
        <w:tc>
          <w:tcPr>
            <w:tcW w:w="2126" w:type="dxa"/>
            <w:gridSpan w:val="2"/>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有无要求</w:t>
            </w:r>
          </w:p>
        </w:tc>
        <w:tc>
          <w:tcPr>
            <w:tcW w:w="1418"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公安部门报备核准</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Merge w:val="continue"/>
            <w:vAlign w:val="center"/>
          </w:tcPr>
          <w:p>
            <w:pPr>
              <w:jc w:val="center"/>
              <w:rPr>
                <w:rFonts w:asciiTheme="minorEastAsia" w:hAnsiTheme="minorEastAsia"/>
                <w:color w:val="000000" w:themeColor="text1"/>
                <w:sz w:val="18"/>
                <w:szCs w:val="18"/>
              </w:rPr>
            </w:pPr>
          </w:p>
        </w:tc>
        <w:tc>
          <w:tcPr>
            <w:tcW w:w="1418"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布展消防核准</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绿色展装率</w:t>
            </w:r>
          </w:p>
        </w:tc>
        <w:tc>
          <w:tcPr>
            <w:tcW w:w="1418"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ind w:firstLine="90" w:firstLineChars="50"/>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服务台、展位图</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Merge w:val="continue"/>
            <w:vAlign w:val="center"/>
          </w:tcPr>
          <w:p>
            <w:pPr>
              <w:jc w:val="center"/>
              <w:rPr>
                <w:rFonts w:asciiTheme="minorEastAsia" w:hAnsiTheme="minorEastAsia"/>
                <w:color w:val="000000" w:themeColor="text1"/>
                <w:sz w:val="18"/>
                <w:szCs w:val="18"/>
              </w:rPr>
            </w:pPr>
          </w:p>
        </w:tc>
        <w:tc>
          <w:tcPr>
            <w:tcW w:w="1418"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秩序好、低噪音</w:t>
            </w:r>
          </w:p>
        </w:tc>
        <w:tc>
          <w:tcPr>
            <w:tcW w:w="1417" w:type="dxa"/>
            <w:vAlign w:val="center"/>
          </w:tcPr>
          <w:p>
            <w:pPr>
              <w:rPr>
                <w:rFonts w:asciiTheme="minorEastAsia" w:hAnsiTheme="minorEastAsia"/>
                <w:color w:val="000000" w:themeColor="text1"/>
                <w:sz w:val="18"/>
                <w:szCs w:val="18"/>
              </w:rPr>
            </w:pPr>
          </w:p>
        </w:tc>
        <w:tc>
          <w:tcPr>
            <w:tcW w:w="851" w:type="dxa"/>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展客商满意度</w:t>
            </w:r>
          </w:p>
        </w:tc>
        <w:tc>
          <w:tcPr>
            <w:tcW w:w="2126" w:type="dxa"/>
            <w:gridSpan w:val="2"/>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展商</w:t>
            </w:r>
          </w:p>
        </w:tc>
        <w:tc>
          <w:tcPr>
            <w:tcW w:w="1418"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Merge w:val="restart"/>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纸质、电子会刊</w:t>
            </w:r>
          </w:p>
        </w:tc>
        <w:tc>
          <w:tcPr>
            <w:tcW w:w="1417" w:type="dxa"/>
            <w:vMerge w:val="restart"/>
            <w:vAlign w:val="center"/>
          </w:tcPr>
          <w:p>
            <w:pPr>
              <w:rPr>
                <w:rFonts w:asciiTheme="minorEastAsia" w:hAnsiTheme="minorEastAsia"/>
                <w:color w:val="000000" w:themeColor="text1"/>
                <w:sz w:val="18"/>
                <w:szCs w:val="18"/>
              </w:rPr>
            </w:pPr>
          </w:p>
        </w:tc>
        <w:tc>
          <w:tcPr>
            <w:tcW w:w="851" w:type="dxa"/>
            <w:vMerge w:val="continue"/>
            <w:vAlign w:val="center"/>
          </w:tcPr>
          <w:p>
            <w:pPr>
              <w:rPr>
                <w:rFonts w:asciiTheme="minorEastAsia" w:hAnsiTheme="minorEastAsia"/>
                <w:color w:val="000000" w:themeColor="text1"/>
                <w:sz w:val="18"/>
                <w:szCs w:val="18"/>
              </w:rPr>
            </w:pPr>
          </w:p>
        </w:tc>
        <w:tc>
          <w:tcPr>
            <w:tcW w:w="2126" w:type="dxa"/>
            <w:gridSpan w:val="2"/>
            <w:vMerge w:val="continue"/>
            <w:vAlign w:val="center"/>
          </w:tcPr>
          <w:p>
            <w:pPr>
              <w:rPr>
                <w:rFonts w:asciiTheme="minorEastAsia" w:hAnsiTheme="minorEastAsia"/>
                <w:color w:val="000000" w:themeColor="text1"/>
                <w:sz w:val="18"/>
                <w:szCs w:val="18"/>
              </w:rPr>
            </w:pPr>
          </w:p>
        </w:tc>
        <w:tc>
          <w:tcPr>
            <w:tcW w:w="1418" w:type="dxa"/>
            <w:vMerge w:val="continue"/>
            <w:vAlign w:val="center"/>
          </w:tcPr>
          <w:p>
            <w:pP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Merge w:val="continue"/>
            <w:vAlign w:val="center"/>
          </w:tcPr>
          <w:p>
            <w:pPr>
              <w:jc w:val="center"/>
              <w:rPr>
                <w:rFonts w:asciiTheme="minorEastAsia" w:hAnsiTheme="minorEastAsia"/>
                <w:color w:val="000000" w:themeColor="text1"/>
                <w:sz w:val="18"/>
                <w:szCs w:val="18"/>
              </w:rPr>
            </w:pPr>
          </w:p>
        </w:tc>
        <w:tc>
          <w:tcPr>
            <w:tcW w:w="1417" w:type="dxa"/>
            <w:vMerge w:val="continue"/>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Merge w:val="restart"/>
            <w:vAlign w:val="center"/>
          </w:tcPr>
          <w:p>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客商</w:t>
            </w:r>
          </w:p>
        </w:tc>
        <w:tc>
          <w:tcPr>
            <w:tcW w:w="1418" w:type="dxa"/>
            <w:vMerge w:val="restart"/>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exact"/>
        </w:trPr>
        <w:tc>
          <w:tcPr>
            <w:tcW w:w="1101" w:type="dxa"/>
            <w:vMerge w:val="continue"/>
            <w:vAlign w:val="center"/>
          </w:tcPr>
          <w:p>
            <w:pPr>
              <w:jc w:val="center"/>
              <w:rPr>
                <w:rFonts w:asciiTheme="minorEastAsia" w:hAnsiTheme="minorEastAsia"/>
                <w:color w:val="000000" w:themeColor="text1"/>
                <w:sz w:val="18"/>
                <w:szCs w:val="18"/>
              </w:rPr>
            </w:pPr>
          </w:p>
        </w:tc>
        <w:tc>
          <w:tcPr>
            <w:tcW w:w="1559"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有无事故</w:t>
            </w:r>
          </w:p>
        </w:tc>
        <w:tc>
          <w:tcPr>
            <w:tcW w:w="1417" w:type="dxa"/>
            <w:vAlign w:val="center"/>
          </w:tcPr>
          <w:p>
            <w:pPr>
              <w:jc w:val="center"/>
              <w:rPr>
                <w:rFonts w:asciiTheme="minorEastAsia" w:hAnsiTheme="minorEastAsia"/>
                <w:color w:val="000000" w:themeColor="text1"/>
                <w:sz w:val="18"/>
                <w:szCs w:val="18"/>
              </w:rPr>
            </w:pPr>
          </w:p>
        </w:tc>
        <w:tc>
          <w:tcPr>
            <w:tcW w:w="851" w:type="dxa"/>
            <w:vMerge w:val="continue"/>
            <w:vAlign w:val="center"/>
          </w:tcPr>
          <w:p>
            <w:pPr>
              <w:jc w:val="center"/>
              <w:rPr>
                <w:rFonts w:asciiTheme="minorEastAsia" w:hAnsiTheme="minorEastAsia"/>
                <w:color w:val="000000" w:themeColor="text1"/>
                <w:sz w:val="18"/>
                <w:szCs w:val="18"/>
              </w:rPr>
            </w:pPr>
          </w:p>
        </w:tc>
        <w:tc>
          <w:tcPr>
            <w:tcW w:w="2126" w:type="dxa"/>
            <w:gridSpan w:val="2"/>
            <w:vMerge w:val="continue"/>
            <w:vAlign w:val="center"/>
          </w:tcPr>
          <w:p>
            <w:pPr>
              <w:jc w:val="center"/>
              <w:rPr>
                <w:rFonts w:asciiTheme="minorEastAsia" w:hAnsiTheme="minorEastAsia"/>
                <w:color w:val="000000" w:themeColor="text1"/>
                <w:sz w:val="18"/>
                <w:szCs w:val="18"/>
              </w:rPr>
            </w:pPr>
          </w:p>
        </w:tc>
        <w:tc>
          <w:tcPr>
            <w:tcW w:w="1418" w:type="dxa"/>
            <w:vMerge w:val="continue"/>
            <w:vAlign w:val="center"/>
          </w:tcPr>
          <w:p>
            <w:pPr>
              <w:jc w:val="center"/>
              <w:rPr>
                <w:rFonts w:asciiTheme="minorEastAsia" w:hAnsiTheme="minorEastAsia"/>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44" w:hRule="exact"/>
        </w:trPr>
        <w:tc>
          <w:tcPr>
            <w:tcW w:w="1101" w:type="dxa"/>
            <w:vAlign w:val="center"/>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自荐单位意见</w:t>
            </w:r>
          </w:p>
        </w:tc>
        <w:tc>
          <w:tcPr>
            <w:tcW w:w="7371" w:type="dxa"/>
            <w:gridSpan w:val="6"/>
          </w:tcPr>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w:t>
            </w:r>
          </w:p>
          <w:p>
            <w:pPr>
              <w:rPr>
                <w:rFonts w:asciiTheme="minorEastAsia" w:hAnsiTheme="minorEastAsia"/>
                <w:color w:val="000000" w:themeColor="text1"/>
                <w:sz w:val="18"/>
                <w:szCs w:val="18"/>
              </w:rPr>
            </w:pPr>
          </w:p>
          <w:p>
            <w:pPr>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 xml:space="preserve">                                        （签章）</w:t>
            </w:r>
          </w:p>
        </w:tc>
      </w:tr>
    </w:tbl>
    <w:p>
      <w:pPr>
        <w:widowControl/>
        <w:rPr>
          <w:rFonts w:ascii="华文仿宋" w:hAnsi="华文仿宋" w:eastAsia="华文仿宋"/>
          <w:color w:val="000000" w:themeColor="text1"/>
          <w:sz w:val="2"/>
          <w:szCs w:val="2"/>
        </w:rPr>
      </w:pPr>
    </w:p>
    <w:p>
      <w:pPr>
        <w:rPr>
          <w:color w:val="000000" w:themeColor="text1"/>
        </w:rPr>
      </w:pPr>
    </w:p>
    <w:p>
      <w:pPr>
        <w:rPr>
          <w:color w:val="000000" w:themeColor="text1"/>
        </w:rPr>
      </w:pPr>
    </w:p>
    <w:p>
      <w:pPr>
        <w:rPr>
          <w:rFonts w:ascii="仿宋_GB2312"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decorative"/>
    <w:pitch w:val="default"/>
    <w:sig w:usb0="E0002E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jc w:val="center"/>
    </w:pPr>
  </w:p>
  <w:p>
    <w:pPr>
      <w:pStyle w:val="7"/>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BA"/>
    <w:rsid w:val="00030D79"/>
    <w:rsid w:val="0008371A"/>
    <w:rsid w:val="000C6EA2"/>
    <w:rsid w:val="000D352D"/>
    <w:rsid w:val="00112DD1"/>
    <w:rsid w:val="00124005"/>
    <w:rsid w:val="00210E84"/>
    <w:rsid w:val="00244C1D"/>
    <w:rsid w:val="00293253"/>
    <w:rsid w:val="00342304"/>
    <w:rsid w:val="00380AFE"/>
    <w:rsid w:val="003F59DD"/>
    <w:rsid w:val="005051CF"/>
    <w:rsid w:val="00510503"/>
    <w:rsid w:val="006D0186"/>
    <w:rsid w:val="006E54B4"/>
    <w:rsid w:val="00775C96"/>
    <w:rsid w:val="007A3958"/>
    <w:rsid w:val="008B5725"/>
    <w:rsid w:val="008F0A42"/>
    <w:rsid w:val="00986A9C"/>
    <w:rsid w:val="00996D1D"/>
    <w:rsid w:val="009D09F1"/>
    <w:rsid w:val="009E2B7E"/>
    <w:rsid w:val="00A309EB"/>
    <w:rsid w:val="00A46302"/>
    <w:rsid w:val="00AF3806"/>
    <w:rsid w:val="00B0669B"/>
    <w:rsid w:val="00B106DD"/>
    <w:rsid w:val="00B440BA"/>
    <w:rsid w:val="00B7152E"/>
    <w:rsid w:val="00CB735C"/>
    <w:rsid w:val="00CF18BD"/>
    <w:rsid w:val="00DF75AA"/>
    <w:rsid w:val="00E659AD"/>
    <w:rsid w:val="00E75141"/>
    <w:rsid w:val="00F54CE1"/>
    <w:rsid w:val="1B6114CA"/>
    <w:rsid w:val="51B173FB"/>
    <w:rsid w:val="525A3DE6"/>
    <w:rsid w:val="565176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qFormat/>
    <w:uiPriority w:val="0"/>
    <w:pPr>
      <w:keepNext/>
      <w:keepLines/>
      <w:spacing w:before="260" w:after="260" w:line="412" w:lineRule="auto"/>
      <w:outlineLvl w:val="2"/>
    </w:pPr>
    <w:rPr>
      <w:rFonts w:ascii="Times New Roman" w:hAnsi="Times New Roman" w:eastAsia="宋体" w:cs="Times New Roman"/>
      <w:b/>
      <w:bCs/>
      <w:sz w:val="32"/>
      <w:szCs w:val="32"/>
    </w:rPr>
  </w:style>
  <w:style w:type="character" w:default="1" w:styleId="12">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kern w:val="0"/>
      <w:sz w:val="22"/>
      <w:szCs w:val="22"/>
    </w:rPr>
  </w:style>
  <w:style w:type="paragraph" w:styleId="6">
    <w:name w:val="Balloon Text"/>
    <w:basedOn w:val="1"/>
    <w:link w:val="20"/>
    <w:uiPriority w:val="99"/>
    <w:rPr>
      <w:sz w:val="18"/>
      <w:szCs w:val="18"/>
    </w:rPr>
  </w:style>
  <w:style w:type="paragraph" w:styleId="7">
    <w:name w:val="footer"/>
    <w:basedOn w:val="1"/>
    <w:link w:val="18"/>
    <w:uiPriority w:val="99"/>
    <w:pPr>
      <w:tabs>
        <w:tab w:val="center" w:pos="4153"/>
        <w:tab w:val="right" w:pos="8306"/>
      </w:tabs>
      <w:snapToGrid w:val="0"/>
      <w:jc w:val="left"/>
    </w:pPr>
    <w:rPr>
      <w:sz w:val="18"/>
      <w:szCs w:val="18"/>
    </w:rPr>
  </w:style>
  <w:style w:type="paragraph" w:styleId="8">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left" w:pos="840"/>
        <w:tab w:val="right" w:leader="dot" w:pos="8296"/>
      </w:tabs>
      <w:jc w:val="center"/>
    </w:pPr>
    <w:rPr>
      <w:rFonts w:asciiTheme="minorEastAsia" w:hAnsiTheme="minorEastAsia"/>
      <w:kern w:val="44"/>
      <w:sz w:val="24"/>
    </w:rPr>
  </w:style>
  <w:style w:type="paragraph" w:styleId="10">
    <w:name w:val="toc 4"/>
    <w:basedOn w:val="1"/>
    <w:next w:val="1"/>
    <w:unhideWhenUsed/>
    <w:qFormat/>
    <w:uiPriority w:val="39"/>
    <w:pPr>
      <w:ind w:left="1260" w:leftChars="600"/>
    </w:pPr>
    <w:rPr>
      <w:szCs w:val="22"/>
    </w:rPr>
  </w:style>
  <w:style w:type="paragraph" w:styleId="11">
    <w:name w:val="toc 2"/>
    <w:basedOn w:val="1"/>
    <w:next w:val="1"/>
    <w:unhideWhenUsed/>
    <w:qFormat/>
    <w:uiPriority w:val="39"/>
    <w:pPr>
      <w:widowControl/>
      <w:tabs>
        <w:tab w:val="right" w:leader="dot" w:pos="8296"/>
      </w:tabs>
      <w:spacing w:after="100" w:line="440" w:lineRule="exact"/>
      <w:ind w:left="221"/>
      <w:jc w:val="left"/>
    </w:pPr>
    <w:rPr>
      <w:kern w:val="0"/>
      <w:sz w:val="22"/>
      <w:szCs w:val="22"/>
    </w:rPr>
  </w:style>
  <w:style w:type="character" w:styleId="13">
    <w:name w:val="Strong"/>
    <w:basedOn w:val="12"/>
    <w:qFormat/>
    <w:uiPriority w:val="0"/>
    <w:rPr>
      <w:b/>
    </w:rPr>
  </w:style>
  <w:style w:type="character" w:styleId="14">
    <w:name w:val="Hyperlink"/>
    <w:basedOn w:val="12"/>
    <w:unhideWhenUsed/>
    <w:qFormat/>
    <w:uiPriority w:val="99"/>
    <w:rPr>
      <w:color w:val="0563C1" w:themeColor="hyperlink"/>
      <w:u w:val="single"/>
    </w:rPr>
  </w:style>
  <w:style w:type="table" w:styleId="16">
    <w:name w:val="Table Grid"/>
    <w:basedOn w:val="15"/>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7">
    <w:name w:val="页眉 Char"/>
    <w:basedOn w:val="12"/>
    <w:link w:val="8"/>
    <w:uiPriority w:val="99"/>
    <w:rPr>
      <w:kern w:val="2"/>
      <w:sz w:val="18"/>
      <w:szCs w:val="18"/>
    </w:rPr>
  </w:style>
  <w:style w:type="character" w:customStyle="1" w:styleId="18">
    <w:name w:val="页脚 Char"/>
    <w:basedOn w:val="12"/>
    <w:link w:val="7"/>
    <w:uiPriority w:val="99"/>
    <w:rPr>
      <w:kern w:val="2"/>
      <w:sz w:val="18"/>
      <w:szCs w:val="18"/>
    </w:rPr>
  </w:style>
  <w:style w:type="paragraph" w:customStyle="1" w:styleId="19">
    <w:name w:val="List Paragraph"/>
    <w:basedOn w:val="1"/>
    <w:qFormat/>
    <w:uiPriority w:val="34"/>
    <w:pPr>
      <w:ind w:firstLine="420" w:firstLineChars="200"/>
    </w:pPr>
  </w:style>
  <w:style w:type="character" w:customStyle="1" w:styleId="20">
    <w:name w:val="批注框文本 Char"/>
    <w:basedOn w:val="12"/>
    <w:link w:val="6"/>
    <w:uiPriority w:val="99"/>
    <w:rPr>
      <w:kern w:val="2"/>
      <w:sz w:val="18"/>
      <w:szCs w:val="18"/>
    </w:rPr>
  </w:style>
  <w:style w:type="character" w:customStyle="1" w:styleId="21">
    <w:name w:val="标题 1 Char"/>
    <w:basedOn w:val="12"/>
    <w:link w:val="2"/>
    <w:uiPriority w:val="9"/>
    <w:rPr>
      <w:b/>
      <w:bCs/>
      <w:kern w:val="44"/>
      <w:sz w:val="44"/>
      <w:szCs w:val="44"/>
    </w:rPr>
  </w:style>
  <w:style w:type="character" w:customStyle="1" w:styleId="22">
    <w:name w:val="标题 2 Char"/>
    <w:basedOn w:val="12"/>
    <w:link w:val="3"/>
    <w:uiPriority w:val="9"/>
    <w:rPr>
      <w:rFonts w:asciiTheme="majorHAnsi" w:hAnsiTheme="majorHAnsi" w:eastAsiaTheme="majorEastAsia" w:cstheme="majorBidi"/>
      <w:b/>
      <w:bCs/>
      <w:kern w:val="2"/>
      <w:sz w:val="32"/>
      <w:szCs w:val="32"/>
    </w:rPr>
  </w:style>
  <w:style w:type="character" w:customStyle="1" w:styleId="23">
    <w:name w:val="标题 3 Char"/>
    <w:basedOn w:val="12"/>
    <w:link w:val="4"/>
    <w:uiPriority w:val="0"/>
    <w:rPr>
      <w:rFonts w:ascii="Times New Roman" w:hAnsi="Times New Roman" w:eastAsia="宋体" w:cs="Times New Roman"/>
      <w:b/>
      <w:bCs/>
      <w:kern w:val="2"/>
      <w:sz w:val="32"/>
      <w:szCs w:val="32"/>
    </w:rPr>
  </w:style>
  <w:style w:type="paragraph" w:customStyle="1" w:styleId="2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25">
    <w:name w:val="4 4 标题 4 + 首行缩进:  0.98 字符 + 首行缩进:  0.98 字符"/>
    <w:basedOn w:val="1"/>
    <w:qFormat/>
    <w:uiPriority w:val="0"/>
    <w:pPr>
      <w:keepNext/>
      <w:keepLines/>
      <w:spacing w:before="80" w:after="80" w:line="376" w:lineRule="auto"/>
      <w:ind w:firstLine="98" w:firstLineChars="98"/>
      <w:outlineLvl w:val="3"/>
    </w:pPr>
    <w:rPr>
      <w:rFonts w:ascii="Arial" w:hAnsi="Arial" w:eastAsia="黑体" w:cs="宋体"/>
      <w:b/>
      <w:bCs/>
      <w:sz w:val="28"/>
      <w:szCs w:val="20"/>
    </w:rPr>
  </w:style>
  <w:style w:type="paragraph" w:customStyle="1" w:styleId="26">
    <w:name w:val="4 3.2 标题 7 + 首行缩进:  1.96 字符 + 首行缩进:  1.96 字符"/>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1938</Words>
  <Characters>11052</Characters>
  <Lines>92</Lines>
  <Paragraphs>25</Paragraphs>
  <TotalTime>0</TotalTime>
  <ScaleCrop>false</ScaleCrop>
  <LinksUpToDate>false</LinksUpToDate>
  <CharactersWithSpaces>12965</CharactersWithSpaces>
  <Application>WPS Office_10.1.0.5604_F1E327BC-269C-435d-A152-05C5408002CA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2016-07-16T12:08:00Z</dcterms:created>
  <dc:creator>文</dc:creator>
  <cp:lastModifiedBy>johnny</cp:lastModifiedBy>
  <cp:lastPrinted>2016-07-18T02:14:00Z</cp:lastPrinted>
  <dcterms:modified xsi:type="dcterms:W3CDTF">2016-07-18T14:48:11Z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2052-10.1.0.5604</vt:lpwstr>
  </property>
</Properties>
</file>