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</w:rPr>
        <w:t>优秀品牌展会奖申报表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1440"/>
        <w:gridCol w:w="900"/>
        <w:gridCol w:w="195"/>
        <w:gridCol w:w="885"/>
        <w:gridCol w:w="540"/>
        <w:gridCol w:w="360"/>
        <w:gridCol w:w="720"/>
        <w:gridCol w:w="90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展览会名称</w:t>
            </w:r>
          </w:p>
        </w:tc>
        <w:tc>
          <w:tcPr>
            <w:tcW w:w="7920" w:type="dxa"/>
            <w:gridSpan w:val="9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批准单位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文号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申报单位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主要承办单位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展览地点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ind w:firstLine="840" w:firstLineChars="4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展览时间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展览毛面积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展览净面积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举办届数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特装展位数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本届观众数（人次）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国内</w:t>
            </w:r>
            <w:r>
              <w:rPr>
                <w:rFonts w:hint="eastAsia"/>
                <w:u w:val="single"/>
              </w:rPr>
              <w:t xml:space="preserve">                    </w:t>
            </w:r>
            <w:r>
              <w:rPr>
                <w:rFonts w:hint="eastAsia"/>
              </w:rPr>
              <w:t>人次；国际</w:t>
            </w:r>
            <w:r>
              <w:rPr>
                <w:rFonts w:hint="eastAsia"/>
                <w:u w:val="single"/>
              </w:rPr>
              <w:t xml:space="preserve">                      </w:t>
            </w:r>
            <w:r>
              <w:rPr>
                <w:rFonts w:hint="eastAsia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本届参展商数量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</w:t>
            </w: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其中境外参展商数量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研讨会场次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其中境外参展商展出面积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展览会自评：[介绍展会的历届展出、展商、观众情况]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numPr>
                <w:ilvl w:val="0"/>
                <w:numId w:val="1"/>
              </w:num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总结（展后提交）   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4. 配套专业会议及研讨会资料    □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历届情况表         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5. 观众登记数据库（展后提交）  □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会刊                     □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420" w:leftChars="200" w:firstLine="16" w:firstLineChars="8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  <w:r>
        <w:rPr>
          <w:rFonts w:hint="eastAsia"/>
          <w:szCs w:val="21"/>
          <w:lang w:val="fr-FR"/>
        </w:rPr>
        <w:t xml:space="preserve"> </w:t>
      </w: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4D52D4"/>
    <w:multiLevelType w:val="multilevel"/>
    <w:tmpl w:val="2B4D52D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5E47F8D"/>
    <w:rsid w:val="2622356E"/>
    <w:rsid w:val="2CF57584"/>
    <w:rsid w:val="337A32D0"/>
    <w:rsid w:val="33C5266D"/>
    <w:rsid w:val="359C5B87"/>
    <w:rsid w:val="364F1924"/>
    <w:rsid w:val="39B14E98"/>
    <w:rsid w:val="3A7447BC"/>
    <w:rsid w:val="3DC91014"/>
    <w:rsid w:val="400A4FD8"/>
    <w:rsid w:val="419158DF"/>
    <w:rsid w:val="43FC1F87"/>
    <w:rsid w:val="458A61E8"/>
    <w:rsid w:val="4FB5174F"/>
    <w:rsid w:val="504D5D28"/>
    <w:rsid w:val="528C5404"/>
    <w:rsid w:val="54EB3BC0"/>
    <w:rsid w:val="5BB76E97"/>
    <w:rsid w:val="5EC84D06"/>
    <w:rsid w:val="625813CB"/>
    <w:rsid w:val="658F2A58"/>
    <w:rsid w:val="6A9D1847"/>
    <w:rsid w:val="6B416B9C"/>
    <w:rsid w:val="71564A41"/>
    <w:rsid w:val="721D5D1D"/>
    <w:rsid w:val="73DE39BC"/>
    <w:rsid w:val="749A6C00"/>
    <w:rsid w:val="78675A29"/>
    <w:rsid w:val="79970208"/>
    <w:rsid w:val="79C22B86"/>
    <w:rsid w:val="7AD718AD"/>
    <w:rsid w:val="7D6B5936"/>
    <w:rsid w:val="7D7D0A21"/>
    <w:rsid w:val="7DD0559D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