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76" w:lineRule="auto"/>
        <w:rPr>
          <w:rFonts w:ascii="Arial"/>
          <w:sz w:val="21"/>
        </w:rPr>
      </w:pPr>
    </w:p>
    <w:p>
      <w:pPr>
        <w:pStyle w:val="2"/>
        <w:spacing w:before="101" w:line="299" w:lineRule="auto"/>
        <w:ind w:left="4099" w:right="2500" w:hanging="1606"/>
        <w:outlineLvl w:val="0"/>
        <w:rPr>
          <w:sz w:val="31"/>
          <w:szCs w:val="31"/>
        </w:rPr>
      </w:pPr>
      <w:r>
        <w:rPr>
          <w:spacing w:val="9"/>
          <w:sz w:val="31"/>
          <w:szCs w:val="31"/>
          <w14:textOutline w14:w="5793" w14:cap="sq" w14:cmpd="sng">
            <w14:solidFill>
              <w14:srgbClr w14:val="000000"/>
            </w14:solidFill>
            <w14:prstDash w14:val="solid"/>
            <w14:bevel/>
          </w14:textOutline>
        </w:rPr>
        <w:t>广州市会展行业主(承)办机构资质等级</w:t>
      </w:r>
      <w:r>
        <w:rPr>
          <w:spacing w:val="14"/>
          <w:sz w:val="31"/>
          <w:szCs w:val="31"/>
        </w:rPr>
        <w:t xml:space="preserve"> </w:t>
      </w:r>
      <w:r>
        <w:rPr>
          <w:spacing w:val="8"/>
          <w:sz w:val="31"/>
          <w:szCs w:val="31"/>
          <w14:textOutline w14:w="5793" w14:cap="sq" w14:cmpd="sng">
            <w14:solidFill>
              <w14:srgbClr w14:val="000000"/>
            </w14:solidFill>
            <w14:prstDash w14:val="solid"/>
            <w14:bevel/>
          </w14:textOutline>
        </w:rPr>
        <w:t>标准及评定细则</w:t>
      </w:r>
    </w:p>
    <w:p>
      <w:pPr>
        <w:spacing w:line="258" w:lineRule="auto"/>
        <w:rPr>
          <w:rFonts w:ascii="Arial"/>
          <w:sz w:val="21"/>
        </w:rPr>
      </w:pPr>
      <w:bookmarkStart w:id="0" w:name="_GoBack"/>
      <w:bookmarkEnd w:id="0"/>
    </w:p>
    <w:p>
      <w:pPr>
        <w:spacing w:line="258" w:lineRule="auto"/>
        <w:rPr>
          <w:rFonts w:ascii="Arial"/>
          <w:sz w:val="21"/>
        </w:rPr>
      </w:pPr>
    </w:p>
    <w:p>
      <w:pPr>
        <w:spacing w:line="258" w:lineRule="auto"/>
        <w:rPr>
          <w:rFonts w:ascii="Arial"/>
          <w:sz w:val="21"/>
        </w:rPr>
      </w:pPr>
    </w:p>
    <w:p>
      <w:pPr>
        <w:pStyle w:val="2"/>
        <w:spacing w:before="98" w:line="221" w:lineRule="auto"/>
        <w:ind w:left="4474"/>
      </w:pPr>
      <w:r>
        <w:rPr>
          <w:spacing w:val="-13"/>
          <w14:textOutline w14:w="5448" w14:cap="sq" w14:cmpd="sng">
            <w14:solidFill>
              <w14:srgbClr w14:val="000000"/>
            </w14:solidFill>
            <w14:prstDash w14:val="solid"/>
            <w14:bevel/>
          </w14:textOutline>
        </w:rPr>
        <w:t>一</w:t>
      </w:r>
      <w:r>
        <w:rPr>
          <w:spacing w:val="-116"/>
        </w:rPr>
        <w:t xml:space="preserve"> </w:t>
      </w:r>
      <w:r>
        <w:rPr>
          <w:spacing w:val="-13"/>
          <w14:textOutline w14:w="5448" w14:cap="sq" w14:cmpd="sng">
            <w14:solidFill>
              <w14:srgbClr w14:val="000000"/>
            </w14:solidFill>
            <w14:prstDash w14:val="solid"/>
            <w14:bevel/>
          </w14:textOutline>
        </w:rPr>
        <w:t>、总</w:t>
      </w:r>
      <w:r>
        <w:rPr>
          <w:spacing w:val="10"/>
        </w:rPr>
        <w:t xml:space="preserve">  </w:t>
      </w:r>
      <w:r>
        <w:rPr>
          <w:spacing w:val="-13"/>
          <w14:textOutline w14:w="5448" w14:cap="sq" w14:cmpd="sng">
            <w14:solidFill>
              <w14:srgbClr w14:val="000000"/>
            </w14:solidFill>
            <w14:prstDash w14:val="solid"/>
            <w14:bevel/>
          </w14:textOutline>
        </w:rPr>
        <w:t>则</w:t>
      </w: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pStyle w:val="2"/>
        <w:spacing w:before="97" w:line="219" w:lineRule="auto"/>
        <w:ind w:left="1"/>
      </w:pPr>
      <w:r>
        <w:rPr>
          <w:spacing w:val="-11"/>
          <w14:textOutline w14:w="5448" w14:cap="sq" w14:cmpd="sng">
            <w14:solidFill>
              <w14:srgbClr w14:val="000000"/>
            </w14:solidFill>
            <w14:prstDash w14:val="solid"/>
            <w14:bevel/>
          </w14:textOutline>
        </w:rPr>
        <w:t>第一条</w:t>
      </w:r>
      <w:r>
        <w:rPr>
          <w:spacing w:val="35"/>
        </w:rPr>
        <w:t xml:space="preserve">  </w:t>
      </w:r>
      <w:r>
        <w:rPr>
          <w:spacing w:val="-11"/>
          <w14:textOutline w14:w="5448" w14:cap="sq" w14:cmpd="sng">
            <w14:solidFill>
              <w14:srgbClr w14:val="000000"/>
            </w14:solidFill>
            <w14:prstDash w14:val="solid"/>
            <w14:bevel/>
          </w14:textOutline>
        </w:rPr>
        <w:t>目的依据</w:t>
      </w:r>
    </w:p>
    <w:p>
      <w:pPr>
        <w:pStyle w:val="2"/>
        <w:spacing w:before="267" w:line="384" w:lineRule="auto"/>
        <w:ind w:left="2" w:right="11" w:firstLine="602"/>
        <w:jc w:val="both"/>
      </w:pPr>
      <w:r>
        <w:rPr>
          <w:spacing w:val="2"/>
        </w:rPr>
        <w:t>为</w:t>
      </w:r>
      <w:r>
        <w:rPr>
          <w:color w:val="262626"/>
          <w:spacing w:val="2"/>
        </w:rPr>
        <w:t>进</w:t>
      </w:r>
      <w:r>
        <w:rPr>
          <w:spacing w:val="2"/>
        </w:rPr>
        <w:t>一步规范会展市场，营造良好的发展环境，提升会展主（承)办机构合</w:t>
      </w:r>
      <w:r>
        <w:rPr>
          <w:spacing w:val="7"/>
        </w:rPr>
        <w:t xml:space="preserve"> </w:t>
      </w:r>
      <w:r>
        <w:rPr>
          <w:spacing w:val="-2"/>
        </w:rPr>
        <w:t>法经营、诚信服务的水平，推动本市会展业更好更快地发展，本协会根</w:t>
      </w:r>
      <w:r>
        <w:rPr>
          <w:spacing w:val="-3"/>
        </w:rPr>
        <w:t>据国家有</w:t>
      </w:r>
      <w:r>
        <w:t xml:space="preserve"> </w:t>
      </w:r>
      <w:r>
        <w:rPr>
          <w:spacing w:val="-2"/>
        </w:rPr>
        <w:t>关法律、法规，结合本市实际情况，制定广州市会展行业主（承）办机</w:t>
      </w:r>
      <w:r>
        <w:rPr>
          <w:spacing w:val="-3"/>
        </w:rPr>
        <w:t>构资质等</w:t>
      </w:r>
    </w:p>
    <w:p>
      <w:pPr>
        <w:pStyle w:val="2"/>
        <w:spacing w:before="1" w:line="220" w:lineRule="auto"/>
        <w:ind w:left="5"/>
      </w:pPr>
      <w:r>
        <w:rPr>
          <w:spacing w:val="-2"/>
        </w:rPr>
        <w:t>级标准及评定细则。</w:t>
      </w:r>
    </w:p>
    <w:p>
      <w:pPr>
        <w:spacing w:line="262" w:lineRule="auto"/>
        <w:rPr>
          <w:rFonts w:ascii="Arial"/>
          <w:sz w:val="21"/>
        </w:rPr>
      </w:pPr>
    </w:p>
    <w:p>
      <w:pPr>
        <w:spacing w:line="262" w:lineRule="auto"/>
        <w:rPr>
          <w:rFonts w:ascii="Arial"/>
          <w:sz w:val="21"/>
        </w:rPr>
      </w:pPr>
    </w:p>
    <w:p>
      <w:pPr>
        <w:spacing w:line="263" w:lineRule="auto"/>
        <w:rPr>
          <w:rFonts w:ascii="Arial"/>
          <w:sz w:val="21"/>
        </w:rPr>
      </w:pPr>
    </w:p>
    <w:p>
      <w:pPr>
        <w:pStyle w:val="2"/>
        <w:spacing w:before="98" w:line="219" w:lineRule="auto"/>
        <w:ind w:left="1"/>
      </w:pPr>
      <w:r>
        <w:rPr>
          <w:spacing w:val="-1"/>
          <w14:textOutline w14:w="5448" w14:cap="sq" w14:cmpd="sng">
            <w14:solidFill>
              <w14:srgbClr w14:val="000000"/>
            </w14:solidFill>
            <w14:prstDash w14:val="solid"/>
            <w14:bevel/>
          </w14:textOutline>
        </w:rPr>
        <w:t>第二条</w:t>
      </w:r>
      <w:r>
        <w:rPr>
          <w:spacing w:val="-1"/>
        </w:rPr>
        <w:t xml:space="preserve">  </w:t>
      </w:r>
      <w:r>
        <w:rPr>
          <w:spacing w:val="-1"/>
          <w14:textOutline w14:w="5448" w14:cap="sq" w14:cmpd="sng">
            <w14:solidFill>
              <w14:srgbClr w14:val="000000"/>
            </w14:solidFill>
            <w14:prstDash w14:val="solid"/>
            <w14:bevel/>
          </w14:textOutline>
        </w:rPr>
        <w:t>主办机构定义</w:t>
      </w:r>
    </w:p>
    <w:p>
      <w:pPr>
        <w:pStyle w:val="2"/>
        <w:spacing w:before="267" w:line="384" w:lineRule="auto"/>
        <w:ind w:left="8" w:right="11" w:firstLine="593"/>
        <w:jc w:val="both"/>
      </w:pPr>
      <w:r>
        <w:rPr>
          <w:spacing w:val="-2"/>
        </w:rPr>
        <w:t>本细则所称会展主（承）办机构是指在国家主管机关依法</w:t>
      </w:r>
      <w:r>
        <w:rPr>
          <w:spacing w:val="-3"/>
        </w:rPr>
        <w:t>登记注册，负责制</w:t>
      </w:r>
      <w:r>
        <w:t xml:space="preserve"> </w:t>
      </w:r>
      <w:r>
        <w:rPr>
          <w:spacing w:val="-2"/>
        </w:rPr>
        <w:t>定会展计划和实施方案，对招展办展办会活动进行统筹、</w:t>
      </w:r>
      <w:r>
        <w:rPr>
          <w:spacing w:val="-3"/>
        </w:rPr>
        <w:t>组织和安排，并对招展</w:t>
      </w:r>
    </w:p>
    <w:p>
      <w:pPr>
        <w:pStyle w:val="2"/>
        <w:spacing w:before="1" w:line="219" w:lineRule="auto"/>
        <w:ind w:left="7"/>
      </w:pPr>
      <w:r>
        <w:rPr>
          <w:spacing w:val="-1"/>
        </w:rPr>
        <w:t>办展办会活动承揽主要责任的独立法人单位。</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ind w:left="1"/>
      </w:pPr>
      <w:r>
        <w:rPr>
          <w14:textOutline w14:w="5448" w14:cap="sq" w14:cmpd="sng">
            <w14:solidFill>
              <w14:srgbClr w14:val="000000"/>
            </w14:solidFill>
            <w14:prstDash w14:val="solid"/>
            <w14:bevel/>
          </w14:textOutline>
        </w:rPr>
        <w:t>第三条</w:t>
      </w:r>
      <w:r>
        <w:t xml:space="preserve">  </w:t>
      </w:r>
      <w:r>
        <w:rPr>
          <w14:textOutline w14:w="5448" w14:cap="sq" w14:cmpd="sng">
            <w14:solidFill>
              <w14:srgbClr w14:val="000000"/>
            </w14:solidFill>
            <w14:prstDash w14:val="solid"/>
            <w14:bevel/>
          </w14:textOutline>
        </w:rPr>
        <w:t>资质等级标准定义</w:t>
      </w:r>
    </w:p>
    <w:p>
      <w:pPr>
        <w:pStyle w:val="2"/>
        <w:spacing w:before="267" w:line="384" w:lineRule="auto"/>
        <w:ind w:firstLine="614"/>
        <w:jc w:val="both"/>
      </w:pPr>
      <w:r>
        <w:rPr>
          <w:spacing w:val="-2"/>
        </w:rPr>
        <w:t>资质等级标准是对会展主办机构策划、组织和实施会展</w:t>
      </w:r>
      <w:r>
        <w:rPr>
          <w:spacing w:val="-3"/>
        </w:rPr>
        <w:t>活动的能力、质量、</w:t>
      </w:r>
      <w:r>
        <w:t xml:space="preserve"> </w:t>
      </w:r>
      <w:r>
        <w:rPr>
          <w:spacing w:val="-2"/>
        </w:rPr>
        <w:t>业绩和社会信誉的认定，是承担民事责任能力的体现，也是参与会展活动的</w:t>
      </w:r>
      <w:r>
        <w:rPr>
          <w:spacing w:val="-3"/>
        </w:rPr>
        <w:t>合作</w:t>
      </w:r>
    </w:p>
    <w:p>
      <w:pPr>
        <w:pStyle w:val="2"/>
        <w:spacing w:line="219" w:lineRule="auto"/>
        <w:ind w:left="2"/>
      </w:pPr>
      <w:r>
        <w:rPr>
          <w:spacing w:val="-2"/>
        </w:rPr>
        <w:t>和投标活动的重要依据。</w:t>
      </w:r>
    </w:p>
    <w:p>
      <w:pPr>
        <w:spacing w:line="219" w:lineRule="auto"/>
        <w:sectPr>
          <w:footerReference r:id="rId5" w:type="default"/>
          <w:pgSz w:w="11906" w:h="16839"/>
          <w:pgMar w:top="1431" w:right="734" w:bottom="1431" w:left="730" w:header="0" w:footer="1179" w:gutter="0"/>
          <w:cols w:space="720" w:num="1"/>
        </w:sectPr>
      </w:pPr>
    </w:p>
    <w:p>
      <w:pPr>
        <w:pStyle w:val="2"/>
        <w:spacing w:before="60" w:line="220" w:lineRule="auto"/>
        <w:ind w:left="18"/>
      </w:pPr>
      <w:r>
        <w:rPr>
          <w:spacing w:val="-1"/>
          <w14:textOutline w14:w="5448" w14:cap="sq" w14:cmpd="sng">
            <w14:solidFill>
              <w14:srgbClr w14:val="000000"/>
            </w14:solidFill>
            <w14:prstDash w14:val="solid"/>
            <w14:bevel/>
          </w14:textOutline>
        </w:rPr>
        <w:t>第四条</w:t>
      </w:r>
      <w:r>
        <w:rPr>
          <w:spacing w:val="-1"/>
        </w:rPr>
        <w:t xml:space="preserve">  </w:t>
      </w:r>
      <w:r>
        <w:rPr>
          <w:spacing w:val="-1"/>
          <w14:textOutline w14:w="5448" w14:cap="sq" w14:cmpd="sng">
            <w14:solidFill>
              <w14:srgbClr w14:val="000000"/>
            </w14:solidFill>
            <w14:prstDash w14:val="solid"/>
            <w14:bevel/>
          </w14:textOutline>
        </w:rPr>
        <w:t>适用范围</w:t>
      </w:r>
    </w:p>
    <w:p>
      <w:pPr>
        <w:pStyle w:val="2"/>
        <w:spacing w:before="266" w:line="624" w:lineRule="exact"/>
        <w:ind w:right="2"/>
        <w:jc w:val="right"/>
      </w:pPr>
      <w:r>
        <w:rPr>
          <w:spacing w:val="2"/>
          <w:position w:val="24"/>
        </w:rPr>
        <w:t>1、凡在广州登记注册且以主办会展业务为</w:t>
      </w:r>
      <w:r>
        <w:rPr>
          <w:spacing w:val="1"/>
          <w:position w:val="24"/>
        </w:rPr>
        <w:t>经营主业的独立法人单位，适用</w:t>
      </w:r>
    </w:p>
    <w:p>
      <w:pPr>
        <w:pStyle w:val="2"/>
        <w:spacing w:line="219" w:lineRule="auto"/>
        <w:ind w:left="19"/>
      </w:pPr>
      <w:r>
        <w:rPr>
          <w:spacing w:val="-4"/>
        </w:rPr>
        <w:t>本细则。</w:t>
      </w:r>
    </w:p>
    <w:p>
      <w:pPr>
        <w:pStyle w:val="2"/>
        <w:spacing w:before="267" w:line="624" w:lineRule="exact"/>
        <w:jc w:val="right"/>
      </w:pPr>
      <w:r>
        <w:rPr>
          <w:spacing w:val="2"/>
          <w:position w:val="24"/>
        </w:rPr>
        <w:t>2、非广州登记注册的会展主办机构，如要求主动申请资质等级评定，可予</w:t>
      </w:r>
    </w:p>
    <w:p>
      <w:pPr>
        <w:pStyle w:val="2"/>
        <w:spacing w:line="222" w:lineRule="auto"/>
        <w:ind w:left="52"/>
      </w:pPr>
      <w:r>
        <w:rPr>
          <w:spacing w:val="-12"/>
        </w:rPr>
        <w:t>以受理。</w:t>
      </w: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pStyle w:val="2"/>
        <w:spacing w:before="98" w:line="220" w:lineRule="auto"/>
        <w:ind w:left="18"/>
      </w:pPr>
      <w:r>
        <w:rPr>
          <w14:textOutline w14:w="5448" w14:cap="sq" w14:cmpd="sng">
            <w14:solidFill>
              <w14:srgbClr w14:val="000000"/>
            </w14:solidFill>
            <w14:prstDash w14:val="solid"/>
            <w14:bevel/>
          </w14:textOutline>
        </w:rPr>
        <w:t>第五条</w:t>
      </w:r>
      <w:r>
        <w:t xml:space="preserve">  </w:t>
      </w:r>
      <w:r>
        <w:rPr>
          <w14:textOutline w14:w="5448" w14:cap="sq" w14:cmpd="sng">
            <w14:solidFill>
              <w14:srgbClr w14:val="000000"/>
            </w14:solidFill>
            <w14:prstDash w14:val="solid"/>
            <w14:bevel/>
          </w14:textOutline>
        </w:rPr>
        <w:t>资质等级的使用</w:t>
      </w:r>
    </w:p>
    <w:p>
      <w:pPr>
        <w:pStyle w:val="2"/>
        <w:spacing w:before="266" w:line="624" w:lineRule="exact"/>
        <w:ind w:right="2"/>
        <w:jc w:val="right"/>
      </w:pPr>
      <w:r>
        <w:rPr>
          <w:spacing w:val="2"/>
          <w:position w:val="24"/>
        </w:rPr>
        <w:t>1、主办机构所获得的资质等级，可在媒体</w:t>
      </w:r>
      <w:r>
        <w:rPr>
          <w:spacing w:val="1"/>
          <w:position w:val="24"/>
        </w:rPr>
        <w:t>宣传中和业务活动中以文字标明</w:t>
      </w:r>
    </w:p>
    <w:p>
      <w:pPr>
        <w:pStyle w:val="2"/>
        <w:spacing w:before="1" w:line="219" w:lineRule="auto"/>
      </w:pPr>
      <w:r>
        <w:rPr>
          <w:spacing w:val="-3"/>
        </w:rPr>
        <w:t>“广州市会展业</w:t>
      </w:r>
      <w:r>
        <w:rPr>
          <w:spacing w:val="-68"/>
        </w:rPr>
        <w:t xml:space="preserve"> </w:t>
      </w:r>
      <w:r>
        <w:rPr>
          <w:spacing w:val="-3"/>
        </w:rPr>
        <w:t>XX</w:t>
      </w:r>
      <w:r>
        <w:rPr>
          <w:spacing w:val="-61"/>
        </w:rPr>
        <w:t xml:space="preserve"> </w:t>
      </w:r>
      <w:r>
        <w:rPr>
          <w:spacing w:val="-3"/>
        </w:rPr>
        <w:t>级主（承）办机构</w:t>
      </w:r>
      <w:r>
        <w:rPr>
          <w:spacing w:val="-110"/>
        </w:rPr>
        <w:t xml:space="preserve"> </w:t>
      </w:r>
      <w:r>
        <w:rPr>
          <w:spacing w:val="-3"/>
        </w:rPr>
        <w:t>”。</w:t>
      </w:r>
    </w:p>
    <w:p>
      <w:pPr>
        <w:pStyle w:val="2"/>
        <w:spacing w:before="267" w:line="624" w:lineRule="exact"/>
        <w:ind w:right="4"/>
        <w:jc w:val="right"/>
      </w:pPr>
      <w:r>
        <w:rPr>
          <w:spacing w:val="2"/>
          <w:position w:val="24"/>
        </w:rPr>
        <w:t>2、广州市会展业行业协会将以各种适当方式宣传推介获资质的主办机构，</w:t>
      </w:r>
    </w:p>
    <w:p>
      <w:pPr>
        <w:pStyle w:val="2"/>
        <w:spacing w:before="1" w:line="219" w:lineRule="auto"/>
        <w:ind w:left="25"/>
      </w:pPr>
      <w:r>
        <w:rPr>
          <w:spacing w:val="-2"/>
        </w:rPr>
        <w:t>并推荐给境内外的会展合作机构。</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8" w:line="220" w:lineRule="auto"/>
        <w:ind w:left="18"/>
      </w:pPr>
      <w:r>
        <w:rPr>
          <w:spacing w:val="-4"/>
          <w14:textOutline w14:w="5448" w14:cap="sq" w14:cmpd="sng">
            <w14:solidFill>
              <w14:srgbClr w14:val="000000"/>
            </w14:solidFill>
            <w14:prstDash w14:val="solid"/>
            <w14:bevel/>
          </w14:textOutline>
        </w:rPr>
        <w:t>第六条</w:t>
      </w:r>
      <w:r>
        <w:rPr>
          <w:spacing w:val="11"/>
        </w:rPr>
        <w:t xml:space="preserve">  </w:t>
      </w:r>
      <w:r>
        <w:rPr>
          <w:spacing w:val="-4"/>
          <w14:textOutline w14:w="5448" w14:cap="sq" w14:cmpd="sng">
            <w14:solidFill>
              <w14:srgbClr w14:val="000000"/>
            </w14:solidFill>
            <w14:prstDash w14:val="solid"/>
            <w14:bevel/>
          </w14:textOutline>
        </w:rPr>
        <w:t>管理部门</w:t>
      </w:r>
    </w:p>
    <w:p>
      <w:pPr>
        <w:pStyle w:val="2"/>
        <w:spacing w:before="266" w:line="624" w:lineRule="exact"/>
        <w:jc w:val="right"/>
      </w:pPr>
      <w:r>
        <w:rPr>
          <w:spacing w:val="7"/>
          <w:position w:val="24"/>
        </w:rPr>
        <w:t>广州市会展业行业协会主承办机构资质评定工作委员会负责资质等级评定</w:t>
      </w:r>
    </w:p>
    <w:p>
      <w:pPr>
        <w:pStyle w:val="2"/>
        <w:spacing w:before="1" w:line="219" w:lineRule="auto"/>
        <w:ind w:left="21"/>
      </w:pPr>
      <w:r>
        <w:rPr>
          <w:spacing w:val="-1"/>
        </w:rPr>
        <w:t>工作，并对获得资质等级的主办机构进行管理。</w:t>
      </w:r>
    </w:p>
    <w:p>
      <w:pPr>
        <w:pStyle w:val="2"/>
        <w:spacing w:before="268" w:line="219" w:lineRule="auto"/>
        <w:ind w:left="618"/>
      </w:pPr>
      <w:r>
        <w:rPr>
          <w:spacing w:val="-1"/>
        </w:rPr>
        <w:t>广州市会展业行业协会对资质等级评定工作行使检查监督权。</w:t>
      </w:r>
    </w:p>
    <w:p>
      <w:pPr>
        <w:spacing w:line="219" w:lineRule="auto"/>
        <w:sectPr>
          <w:footerReference r:id="rId6" w:type="default"/>
          <w:pgSz w:w="11906" w:h="16839"/>
          <w:pgMar w:top="1235" w:right="746" w:bottom="1431" w:left="713" w:header="0" w:footer="1179" w:gutter="0"/>
          <w:cols w:space="720" w:num="1"/>
        </w:sectPr>
      </w:pPr>
    </w:p>
    <w:p>
      <w:pPr>
        <w:pStyle w:val="2"/>
        <w:spacing w:before="60" w:line="220" w:lineRule="auto"/>
        <w:ind w:left="3721"/>
        <w:outlineLvl w:val="6"/>
      </w:pPr>
      <w:r>
        <w:rPr>
          <w:spacing w:val="-1"/>
          <w14:textOutline w14:w="5448" w14:cap="sq" w14:cmpd="sng">
            <w14:solidFill>
              <w14:srgbClr w14:val="000000"/>
            </w14:solidFill>
            <w14:prstDash w14:val="solid"/>
            <w14:bevel/>
          </w14:textOutline>
        </w:rPr>
        <w:t>二、资质等级分级标准</w:t>
      </w: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ind w:left="1"/>
      </w:pPr>
      <w:r>
        <w:rPr>
          <w:spacing w:val="-5"/>
          <w14:textOutline w14:w="5448" w14:cap="sq" w14:cmpd="sng">
            <w14:solidFill>
              <w14:srgbClr w14:val="000000"/>
            </w14:solidFill>
            <w14:prstDash w14:val="solid"/>
            <w14:bevel/>
          </w14:textOutline>
        </w:rPr>
        <w:t>第七条</w:t>
      </w:r>
      <w:r>
        <w:rPr>
          <w:spacing w:val="8"/>
        </w:rPr>
        <w:t xml:space="preserve">  </w:t>
      </w:r>
      <w:r>
        <w:rPr>
          <w:spacing w:val="-5"/>
          <w14:textOutline w14:w="5448" w14:cap="sq" w14:cmpd="sng">
            <w14:solidFill>
              <w14:srgbClr w14:val="000000"/>
            </w14:solidFill>
            <w14:prstDash w14:val="solid"/>
            <w14:bevel/>
          </w14:textOutline>
        </w:rPr>
        <w:t>等级</w:t>
      </w:r>
    </w:p>
    <w:p>
      <w:pPr>
        <w:pStyle w:val="2"/>
        <w:spacing w:before="266" w:line="219" w:lineRule="auto"/>
        <w:ind w:left="603"/>
      </w:pPr>
      <w:r>
        <w:rPr>
          <w:spacing w:val="-1"/>
        </w:rPr>
        <w:t>主办机构的资质为一级、二级、三级共三个等级，一级为最高等级。</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ind w:left="1"/>
      </w:pPr>
      <w:r>
        <w:rPr>
          <w:spacing w:val="-1"/>
          <w14:textOutline w14:w="5448" w14:cap="sq" w14:cmpd="sng">
            <w14:solidFill>
              <w14:srgbClr w14:val="000000"/>
            </w14:solidFill>
            <w14:prstDash w14:val="solid"/>
            <w14:bevel/>
          </w14:textOutline>
        </w:rPr>
        <w:t>第八条</w:t>
      </w:r>
      <w:r>
        <w:rPr>
          <w:spacing w:val="-1"/>
        </w:rPr>
        <w:t xml:space="preserve">  </w:t>
      </w:r>
      <w:r>
        <w:rPr>
          <w:spacing w:val="-1"/>
          <w14:textOutline w14:w="5448" w14:cap="sq" w14:cmpd="sng">
            <w14:solidFill>
              <w14:srgbClr w14:val="000000"/>
            </w14:solidFill>
            <w14:prstDash w14:val="solid"/>
            <w14:bevel/>
          </w14:textOutline>
        </w:rPr>
        <w:t>等级划分标准</w:t>
      </w:r>
    </w:p>
    <w:p>
      <w:pPr>
        <w:spacing w:line="360" w:lineRule="auto"/>
        <w:rPr>
          <w:rFonts w:ascii="Arial"/>
          <w:sz w:val="21"/>
        </w:rPr>
      </w:pPr>
    </w:p>
    <w:p>
      <w:pPr>
        <w:pStyle w:val="2"/>
        <w:spacing w:before="98" w:line="221" w:lineRule="auto"/>
        <w:ind w:left="53"/>
      </w:pPr>
      <w:r>
        <w:rPr>
          <w:spacing w:val="-9"/>
          <w14:textOutline w14:w="5448" w14:cap="sq" w14:cmpd="sng">
            <w14:solidFill>
              <w14:srgbClr w14:val="000000"/>
            </w14:solidFill>
            <w14:prstDash w14:val="solid"/>
            <w14:bevel/>
          </w14:textOutline>
        </w:rPr>
        <w:t>(一)</w:t>
      </w:r>
      <w:r>
        <w:rPr>
          <w:spacing w:val="110"/>
        </w:rPr>
        <w:t xml:space="preserve"> </w:t>
      </w:r>
      <w:r>
        <w:rPr>
          <w:spacing w:val="-9"/>
          <w14:textOutline w14:w="5448" w14:cap="sq" w14:cmpd="sng">
            <w14:solidFill>
              <w14:srgbClr w14:val="000000"/>
            </w14:solidFill>
            <w14:prstDash w14:val="solid"/>
            <w14:bevel/>
          </w14:textOutline>
        </w:rPr>
        <w:t>一级资质标准</w:t>
      </w:r>
    </w:p>
    <w:p>
      <w:pPr>
        <w:pStyle w:val="2"/>
        <w:spacing w:before="225" w:line="585" w:lineRule="exact"/>
        <w:ind w:left="623"/>
      </w:pPr>
      <w:r>
        <w:rPr>
          <w:position w:val="21"/>
        </w:rPr>
        <w:t>1、主办机构的注册资本金人民币</w:t>
      </w:r>
      <w:r>
        <w:rPr>
          <w:spacing w:val="-42"/>
          <w:position w:val="21"/>
        </w:rPr>
        <w:t xml:space="preserve"> </w:t>
      </w:r>
      <w:r>
        <w:rPr>
          <w:position w:val="21"/>
        </w:rPr>
        <w:t>300</w:t>
      </w:r>
      <w:r>
        <w:rPr>
          <w:spacing w:val="-54"/>
          <w:position w:val="21"/>
        </w:rPr>
        <w:t xml:space="preserve"> </w:t>
      </w:r>
      <w:r>
        <w:rPr>
          <w:position w:val="21"/>
        </w:rPr>
        <w:t>万元（含）以上或最近三年每年年终</w:t>
      </w:r>
    </w:p>
    <w:p>
      <w:pPr>
        <w:pStyle w:val="2"/>
        <w:spacing w:before="1" w:line="219" w:lineRule="auto"/>
        <w:ind w:left="4"/>
      </w:pPr>
      <w:r>
        <w:rPr>
          <w:spacing w:val="-4"/>
        </w:rPr>
        <w:t>总资产达人民币</w:t>
      </w:r>
      <w:r>
        <w:rPr>
          <w:spacing w:val="-34"/>
        </w:rPr>
        <w:t xml:space="preserve"> </w:t>
      </w:r>
      <w:r>
        <w:rPr>
          <w:spacing w:val="-4"/>
        </w:rPr>
        <w:t>1000</w:t>
      </w:r>
      <w:r>
        <w:rPr>
          <w:spacing w:val="-58"/>
        </w:rPr>
        <w:t xml:space="preserve"> </w:t>
      </w:r>
      <w:r>
        <w:rPr>
          <w:spacing w:val="-4"/>
        </w:rPr>
        <w:t>万元（含）以上；</w:t>
      </w:r>
    </w:p>
    <w:p>
      <w:pPr>
        <w:pStyle w:val="2"/>
        <w:spacing w:before="224" w:line="586" w:lineRule="exact"/>
        <w:ind w:left="604"/>
      </w:pPr>
      <w:r>
        <w:rPr>
          <w:spacing w:val="1"/>
          <w:position w:val="21"/>
        </w:rPr>
        <w:t>2、固定的办公用房（非住宅类）建筑面积</w:t>
      </w:r>
      <w:r>
        <w:rPr>
          <w:spacing w:val="-49"/>
          <w:position w:val="21"/>
        </w:rPr>
        <w:t xml:space="preserve"> </w:t>
      </w:r>
      <w:r>
        <w:rPr>
          <w:spacing w:val="1"/>
          <w:position w:val="21"/>
        </w:rPr>
        <w:t>400</w:t>
      </w:r>
      <w:r>
        <w:rPr>
          <w:spacing w:val="-62"/>
          <w:position w:val="21"/>
        </w:rPr>
        <w:t xml:space="preserve"> </w:t>
      </w:r>
      <w:r>
        <w:rPr>
          <w:spacing w:val="1"/>
          <w:position w:val="21"/>
        </w:rPr>
        <w:t>平方米（含）以上，并有相</w:t>
      </w:r>
    </w:p>
    <w:p>
      <w:pPr>
        <w:pStyle w:val="2"/>
        <w:spacing w:line="220" w:lineRule="auto"/>
        <w:ind w:left="1"/>
      </w:pPr>
      <w:r>
        <w:rPr>
          <w:spacing w:val="-2"/>
        </w:rPr>
        <w:t>应的办公设施；</w:t>
      </w:r>
    </w:p>
    <w:p>
      <w:pPr>
        <w:pStyle w:val="2"/>
        <w:spacing w:before="225" w:line="359" w:lineRule="auto"/>
        <w:ind w:right="124" w:firstLine="607"/>
      </w:pPr>
      <w:r>
        <w:rPr>
          <w:spacing w:val="2"/>
        </w:rPr>
        <w:t xml:space="preserve">3、从事会展主办业务五年（含）以上，并在申请资质等级评定的前三年内 </w:t>
      </w:r>
      <w:r>
        <w:rPr>
          <w:spacing w:val="7"/>
        </w:rPr>
        <w:t>在政府相关机构或其授权的专业管理部门中无重大安全</w:t>
      </w:r>
      <w:r>
        <w:rPr>
          <w:spacing w:val="6"/>
        </w:rPr>
        <w:t>责任事故及诚信不良的</w:t>
      </w:r>
    </w:p>
    <w:p>
      <w:pPr>
        <w:pStyle w:val="2"/>
        <w:spacing w:before="1" w:line="222" w:lineRule="auto"/>
      </w:pPr>
      <w:r>
        <w:rPr>
          <w:spacing w:val="-4"/>
        </w:rPr>
        <w:t>记录；</w:t>
      </w:r>
    </w:p>
    <w:p>
      <w:pPr>
        <w:pStyle w:val="2"/>
        <w:spacing w:before="222" w:line="219" w:lineRule="auto"/>
        <w:ind w:left="600"/>
      </w:pPr>
      <w:r>
        <w:rPr>
          <w:spacing w:val="-1"/>
        </w:rPr>
        <w:t>4、经营会展活动的业绩（以下四项符合其中二项即可</w:t>
      </w:r>
      <w:r>
        <w:rPr>
          <w:spacing w:val="-80"/>
        </w:rPr>
        <w:t>）：</w:t>
      </w:r>
    </w:p>
    <w:p>
      <w:pPr>
        <w:pStyle w:val="2"/>
        <w:spacing w:before="229" w:line="584" w:lineRule="exact"/>
        <w:jc w:val="right"/>
      </w:pPr>
      <w:r>
        <w:rPr>
          <w:spacing w:val="-8"/>
          <w:position w:val="21"/>
        </w:rPr>
        <w:t>（1）申请资质等级评定的上一年度其会展业务的收入人民币</w:t>
      </w:r>
      <w:r>
        <w:rPr>
          <w:spacing w:val="-57"/>
          <w:position w:val="21"/>
        </w:rPr>
        <w:t xml:space="preserve"> </w:t>
      </w:r>
      <w:r>
        <w:rPr>
          <w:spacing w:val="-9"/>
          <w:position w:val="21"/>
        </w:rPr>
        <w:t>3000</w:t>
      </w:r>
      <w:r>
        <w:rPr>
          <w:spacing w:val="-58"/>
          <w:position w:val="21"/>
        </w:rPr>
        <w:t xml:space="preserve"> </w:t>
      </w:r>
      <w:r>
        <w:rPr>
          <w:spacing w:val="-9"/>
          <w:position w:val="21"/>
        </w:rPr>
        <w:t>万元（含）</w:t>
      </w:r>
    </w:p>
    <w:p>
      <w:pPr>
        <w:pStyle w:val="2"/>
        <w:spacing w:line="222" w:lineRule="auto"/>
        <w:ind w:left="35"/>
      </w:pPr>
      <w:r>
        <w:rPr>
          <w:spacing w:val="-16"/>
        </w:rPr>
        <w:t>以上；</w:t>
      </w:r>
    </w:p>
    <w:p>
      <w:pPr>
        <w:pStyle w:val="2"/>
        <w:spacing w:before="222" w:line="583" w:lineRule="exact"/>
        <w:ind w:left="614"/>
      </w:pPr>
      <w:r>
        <w:rPr>
          <w:spacing w:val="2"/>
          <w:position w:val="21"/>
        </w:rPr>
        <w:t>（2）申请资质等级评定的前三年内，独立主办过不少于一项（含）</w:t>
      </w:r>
      <w:r>
        <w:rPr>
          <w:spacing w:val="1"/>
          <w:position w:val="21"/>
        </w:rPr>
        <w:t>广州市</w:t>
      </w:r>
    </w:p>
    <w:p>
      <w:pPr>
        <w:pStyle w:val="2"/>
        <w:spacing w:line="220" w:lineRule="auto"/>
        <w:ind w:left="25"/>
      </w:pPr>
      <w:r>
        <w:rPr>
          <w:spacing w:val="-3"/>
        </w:rPr>
        <w:t>品牌展项或二项（含）优秀展项；</w:t>
      </w:r>
    </w:p>
    <w:p>
      <w:pPr>
        <w:pStyle w:val="2"/>
        <w:spacing w:before="226" w:line="583" w:lineRule="exact"/>
        <w:ind w:left="614"/>
      </w:pPr>
      <w:r>
        <w:rPr>
          <w:spacing w:val="2"/>
          <w:position w:val="21"/>
        </w:rPr>
        <w:t>（3）申请资质等级评定的前三年内，独立主（承）办过二次市级大</w:t>
      </w:r>
      <w:r>
        <w:rPr>
          <w:spacing w:val="1"/>
          <w:position w:val="21"/>
        </w:rPr>
        <w:t>型节事</w:t>
      </w:r>
    </w:p>
    <w:p>
      <w:pPr>
        <w:pStyle w:val="2"/>
        <w:spacing w:before="2" w:line="220" w:lineRule="auto"/>
        <w:ind w:left="5"/>
      </w:pPr>
      <w:r>
        <w:rPr>
          <w:spacing w:val="-6"/>
        </w:rPr>
        <w:t>活动；</w:t>
      </w:r>
    </w:p>
    <w:p>
      <w:pPr>
        <w:pStyle w:val="2"/>
        <w:spacing w:before="224" w:line="586" w:lineRule="exact"/>
        <w:ind w:left="614"/>
      </w:pPr>
      <w:r>
        <w:rPr>
          <w:spacing w:val="1"/>
          <w:position w:val="21"/>
        </w:rPr>
        <w:t>（4）申请资质等级评定的前三年内，独立承办过不少于</w:t>
      </w:r>
      <w:r>
        <w:rPr>
          <w:spacing w:val="-58"/>
          <w:position w:val="21"/>
        </w:rPr>
        <w:t xml:space="preserve"> </w:t>
      </w:r>
      <w:r>
        <w:rPr>
          <w:spacing w:val="1"/>
          <w:position w:val="21"/>
        </w:rPr>
        <w:t>2</w:t>
      </w:r>
      <w:r>
        <w:rPr>
          <w:spacing w:val="-61"/>
          <w:position w:val="21"/>
        </w:rPr>
        <w:t xml:space="preserve"> </w:t>
      </w:r>
      <w:r>
        <w:rPr>
          <w:spacing w:val="1"/>
          <w:position w:val="21"/>
        </w:rPr>
        <w:t>个政府部门主办</w:t>
      </w:r>
    </w:p>
    <w:p>
      <w:pPr>
        <w:pStyle w:val="2"/>
        <w:spacing w:line="219" w:lineRule="auto"/>
        <w:ind w:left="25"/>
      </w:pPr>
      <w:r>
        <w:rPr>
          <w:spacing w:val="-3"/>
        </w:rPr>
        <w:t>的</w:t>
      </w:r>
      <w:r>
        <w:rPr>
          <w:spacing w:val="-48"/>
        </w:rPr>
        <w:t xml:space="preserve"> </w:t>
      </w:r>
      <w:r>
        <w:rPr>
          <w:spacing w:val="-3"/>
        </w:rPr>
        <w:t>20000</w:t>
      </w:r>
      <w:r>
        <w:rPr>
          <w:spacing w:val="-64"/>
        </w:rPr>
        <w:t xml:space="preserve"> </w:t>
      </w:r>
      <w:r>
        <w:rPr>
          <w:spacing w:val="-3"/>
        </w:rPr>
        <w:t>平方米（含）以上的国际展览会或</w:t>
      </w:r>
      <w:r>
        <w:rPr>
          <w:spacing w:val="-58"/>
        </w:rPr>
        <w:t xml:space="preserve"> </w:t>
      </w:r>
      <w:r>
        <w:rPr>
          <w:spacing w:val="-3"/>
        </w:rPr>
        <w:t>500</w:t>
      </w:r>
      <w:r>
        <w:rPr>
          <w:spacing w:val="-60"/>
        </w:rPr>
        <w:t xml:space="preserve"> </w:t>
      </w:r>
      <w:r>
        <w:rPr>
          <w:spacing w:val="-3"/>
        </w:rPr>
        <w:t>人（含）以上的国际会议；</w:t>
      </w:r>
    </w:p>
    <w:p>
      <w:pPr>
        <w:spacing w:line="219" w:lineRule="auto"/>
        <w:sectPr>
          <w:footerReference r:id="rId7" w:type="default"/>
          <w:pgSz w:w="11906" w:h="16839"/>
          <w:pgMar w:top="1235" w:right="621" w:bottom="1431" w:left="730" w:header="0" w:footer="1179" w:gutter="0"/>
          <w:cols w:space="720" w:num="1"/>
        </w:sectPr>
      </w:pPr>
    </w:p>
    <w:p>
      <w:pPr>
        <w:pStyle w:val="2"/>
        <w:spacing w:before="60" w:line="583" w:lineRule="exact"/>
        <w:ind w:left="607"/>
      </w:pPr>
      <w:r>
        <w:rPr>
          <w:spacing w:val="-5"/>
          <w:position w:val="21"/>
        </w:rPr>
        <w:t>5、专职从业人员不少于</w:t>
      </w:r>
      <w:r>
        <w:rPr>
          <w:spacing w:val="-47"/>
          <w:position w:val="21"/>
        </w:rPr>
        <w:t xml:space="preserve"> </w:t>
      </w:r>
      <w:r>
        <w:rPr>
          <w:spacing w:val="-5"/>
          <w:position w:val="21"/>
        </w:rPr>
        <w:t>25</w:t>
      </w:r>
      <w:r>
        <w:rPr>
          <w:spacing w:val="-60"/>
          <w:position w:val="21"/>
        </w:rPr>
        <w:t xml:space="preserve"> </w:t>
      </w:r>
      <w:r>
        <w:rPr>
          <w:spacing w:val="-5"/>
          <w:position w:val="21"/>
        </w:rPr>
        <w:t>人，其中：高级职称不少于</w:t>
      </w:r>
      <w:r>
        <w:rPr>
          <w:spacing w:val="-42"/>
          <w:position w:val="21"/>
        </w:rPr>
        <w:t xml:space="preserve"> </w:t>
      </w:r>
      <w:r>
        <w:rPr>
          <w:spacing w:val="-5"/>
          <w:position w:val="21"/>
        </w:rPr>
        <w:t>1</w:t>
      </w:r>
      <w:r>
        <w:rPr>
          <w:spacing w:val="-60"/>
          <w:position w:val="21"/>
        </w:rPr>
        <w:t xml:space="preserve"> </w:t>
      </w:r>
      <w:r>
        <w:rPr>
          <w:spacing w:val="-5"/>
          <w:position w:val="21"/>
        </w:rPr>
        <w:t>人，中级职称不少</w:t>
      </w:r>
    </w:p>
    <w:p>
      <w:pPr>
        <w:pStyle w:val="2"/>
        <w:spacing w:line="222" w:lineRule="auto"/>
        <w:ind w:left="5"/>
      </w:pPr>
      <w:r>
        <w:rPr>
          <w:spacing w:val="-13"/>
        </w:rPr>
        <w:t>于</w:t>
      </w:r>
      <w:r>
        <w:rPr>
          <w:spacing w:val="-56"/>
        </w:rPr>
        <w:t xml:space="preserve"> </w:t>
      </w:r>
      <w:r>
        <w:rPr>
          <w:spacing w:val="-13"/>
        </w:rPr>
        <w:t>5</w:t>
      </w:r>
      <w:r>
        <w:rPr>
          <w:spacing w:val="-60"/>
        </w:rPr>
        <w:t xml:space="preserve"> </w:t>
      </w:r>
      <w:r>
        <w:rPr>
          <w:spacing w:val="-13"/>
        </w:rPr>
        <w:t>人；</w:t>
      </w:r>
    </w:p>
    <w:p>
      <w:pPr>
        <w:pStyle w:val="2"/>
        <w:spacing w:before="224" w:line="581" w:lineRule="exact"/>
        <w:ind w:left="603"/>
      </w:pPr>
      <w:r>
        <w:rPr>
          <w:spacing w:val="2"/>
          <w:position w:val="21"/>
        </w:rPr>
        <w:t>6、积极支持协会的工作和活动，一般应协会理事单位，信誉较好，无不良</w:t>
      </w:r>
    </w:p>
    <w:p>
      <w:pPr>
        <w:pStyle w:val="2"/>
        <w:spacing w:line="222" w:lineRule="auto"/>
      </w:pPr>
      <w:r>
        <w:rPr>
          <w:spacing w:val="-4"/>
        </w:rPr>
        <w:t>记录；</w:t>
      </w:r>
    </w:p>
    <w:p>
      <w:pPr>
        <w:pStyle w:val="2"/>
        <w:spacing w:before="224" w:line="359" w:lineRule="auto"/>
        <w:ind w:left="3" w:right="124" w:firstLine="604"/>
      </w:pPr>
      <w:r>
        <w:rPr>
          <w:spacing w:val="-7"/>
        </w:rPr>
        <w:t>7、遵守国家有关法律法规，认真执行《广州市展览业管理办法》，积极参与</w:t>
      </w:r>
      <w:r>
        <w:rPr>
          <w:spacing w:val="8"/>
        </w:rPr>
        <w:t xml:space="preserve"> </w:t>
      </w:r>
      <w:r>
        <w:rPr>
          <w:spacing w:val="-2"/>
        </w:rPr>
        <w:t>社会公益活动，支持广州市会展业行业协会及主办机构资质评审工</w:t>
      </w:r>
      <w:r>
        <w:rPr>
          <w:spacing w:val="-3"/>
        </w:rPr>
        <w:t>作委员会的工</w:t>
      </w:r>
    </w:p>
    <w:p>
      <w:pPr>
        <w:pStyle w:val="2"/>
        <w:spacing w:before="1" w:line="220" w:lineRule="auto"/>
        <w:ind w:left="2"/>
      </w:pPr>
      <w:r>
        <w:rPr>
          <w:spacing w:val="-7"/>
        </w:rPr>
        <w:t>作。</w:t>
      </w:r>
    </w:p>
    <w:p>
      <w:pPr>
        <w:spacing w:line="435" w:lineRule="auto"/>
        <w:rPr>
          <w:rFonts w:ascii="Arial"/>
          <w:sz w:val="21"/>
        </w:rPr>
      </w:pPr>
    </w:p>
    <w:p>
      <w:pPr>
        <w:pStyle w:val="2"/>
        <w:spacing w:before="98" w:line="221" w:lineRule="auto"/>
        <w:ind w:left="53"/>
      </w:pPr>
      <w:r>
        <w:rPr>
          <w:spacing w:val="-9"/>
          <w14:textOutline w14:w="5448" w14:cap="sq" w14:cmpd="sng">
            <w14:solidFill>
              <w14:srgbClr w14:val="000000"/>
            </w14:solidFill>
            <w14:prstDash w14:val="solid"/>
            <w14:bevel/>
          </w14:textOutline>
        </w:rPr>
        <w:t>(二)</w:t>
      </w:r>
      <w:r>
        <w:rPr>
          <w:spacing w:val="110"/>
        </w:rPr>
        <w:t xml:space="preserve"> </w:t>
      </w:r>
      <w:r>
        <w:rPr>
          <w:spacing w:val="-9"/>
          <w14:textOutline w14:w="5448" w14:cap="sq" w14:cmpd="sng">
            <w14:solidFill>
              <w14:srgbClr w14:val="000000"/>
            </w14:solidFill>
            <w14:prstDash w14:val="solid"/>
            <w14:bevel/>
          </w14:textOutline>
        </w:rPr>
        <w:t>二级资质标准</w:t>
      </w:r>
    </w:p>
    <w:p>
      <w:pPr>
        <w:pStyle w:val="2"/>
        <w:spacing w:before="224" w:line="586" w:lineRule="exact"/>
        <w:ind w:left="623"/>
      </w:pPr>
      <w:r>
        <w:rPr>
          <w:position w:val="21"/>
        </w:rPr>
        <w:t>1、主办机构的注册资本金人民币</w:t>
      </w:r>
      <w:r>
        <w:rPr>
          <w:spacing w:val="-36"/>
          <w:position w:val="21"/>
        </w:rPr>
        <w:t xml:space="preserve"> </w:t>
      </w:r>
      <w:r>
        <w:rPr>
          <w:position w:val="21"/>
        </w:rPr>
        <w:t>100</w:t>
      </w:r>
      <w:r>
        <w:rPr>
          <w:spacing w:val="-54"/>
          <w:position w:val="21"/>
        </w:rPr>
        <w:t xml:space="preserve"> </w:t>
      </w:r>
      <w:r>
        <w:rPr>
          <w:position w:val="21"/>
        </w:rPr>
        <w:t>万元（含）以上或最近</w:t>
      </w:r>
      <w:r>
        <w:rPr>
          <w:spacing w:val="-1"/>
          <w:position w:val="21"/>
        </w:rPr>
        <w:t>三年每年年终</w:t>
      </w:r>
    </w:p>
    <w:p>
      <w:pPr>
        <w:pStyle w:val="2"/>
        <w:spacing w:line="219" w:lineRule="auto"/>
        <w:ind w:left="4"/>
      </w:pPr>
      <w:r>
        <w:rPr>
          <w:spacing w:val="-3"/>
        </w:rPr>
        <w:t>总资产达人民币</w:t>
      </w:r>
      <w:r>
        <w:rPr>
          <w:spacing w:val="-57"/>
        </w:rPr>
        <w:t xml:space="preserve"> </w:t>
      </w:r>
      <w:r>
        <w:rPr>
          <w:spacing w:val="-3"/>
        </w:rPr>
        <w:t>500</w:t>
      </w:r>
      <w:r>
        <w:rPr>
          <w:spacing w:val="-56"/>
        </w:rPr>
        <w:t xml:space="preserve"> </w:t>
      </w:r>
      <w:r>
        <w:rPr>
          <w:spacing w:val="-3"/>
        </w:rPr>
        <w:t>万元（含）以上；</w:t>
      </w:r>
    </w:p>
    <w:p>
      <w:pPr>
        <w:pStyle w:val="2"/>
        <w:spacing w:before="227" w:line="583" w:lineRule="exact"/>
        <w:ind w:left="604"/>
      </w:pPr>
      <w:r>
        <w:rPr>
          <w:spacing w:val="1"/>
          <w:position w:val="21"/>
        </w:rPr>
        <w:t>2、固定的办公用房（非住宅类）建筑面积</w:t>
      </w:r>
      <w:r>
        <w:rPr>
          <w:spacing w:val="-49"/>
          <w:position w:val="21"/>
        </w:rPr>
        <w:t xml:space="preserve"> </w:t>
      </w:r>
      <w:r>
        <w:rPr>
          <w:spacing w:val="1"/>
          <w:position w:val="21"/>
        </w:rPr>
        <w:t>300</w:t>
      </w:r>
      <w:r>
        <w:rPr>
          <w:spacing w:val="-62"/>
          <w:position w:val="21"/>
        </w:rPr>
        <w:t xml:space="preserve"> </w:t>
      </w:r>
      <w:r>
        <w:rPr>
          <w:spacing w:val="1"/>
          <w:position w:val="21"/>
        </w:rPr>
        <w:t>平方米（含）以上，并有相</w:t>
      </w:r>
    </w:p>
    <w:p>
      <w:pPr>
        <w:pStyle w:val="2"/>
        <w:spacing w:line="220" w:lineRule="auto"/>
        <w:ind w:left="1"/>
      </w:pPr>
      <w:r>
        <w:rPr>
          <w:spacing w:val="-2"/>
        </w:rPr>
        <w:t>应的办公设施；</w:t>
      </w:r>
    </w:p>
    <w:p>
      <w:pPr>
        <w:pStyle w:val="2"/>
        <w:spacing w:before="226" w:line="359" w:lineRule="auto"/>
        <w:ind w:right="124" w:firstLine="607"/>
      </w:pPr>
      <w:r>
        <w:rPr>
          <w:spacing w:val="2"/>
        </w:rPr>
        <w:t xml:space="preserve">3、从事会展主办业务四年（含）以上，并在申请资质等级评定的前三年内 </w:t>
      </w:r>
      <w:r>
        <w:rPr>
          <w:spacing w:val="7"/>
        </w:rPr>
        <w:t>在政府相关机构或其授权的专业管理部门中无重大安全</w:t>
      </w:r>
      <w:r>
        <w:rPr>
          <w:spacing w:val="6"/>
        </w:rPr>
        <w:t>责任事故及诚信不良的</w:t>
      </w:r>
    </w:p>
    <w:p>
      <w:pPr>
        <w:pStyle w:val="2"/>
        <w:spacing w:line="222" w:lineRule="auto"/>
      </w:pPr>
      <w:r>
        <w:rPr>
          <w:spacing w:val="-4"/>
        </w:rPr>
        <w:t>记录；</w:t>
      </w:r>
    </w:p>
    <w:p>
      <w:pPr>
        <w:pStyle w:val="2"/>
        <w:spacing w:before="223" w:line="219" w:lineRule="auto"/>
        <w:ind w:left="600"/>
      </w:pPr>
      <w:r>
        <w:rPr>
          <w:spacing w:val="-1"/>
        </w:rPr>
        <w:t>4、经营会展活动的业绩（以下四项符合其中二项即可</w:t>
      </w:r>
      <w:r>
        <w:rPr>
          <w:spacing w:val="-80"/>
        </w:rPr>
        <w:t>）：</w:t>
      </w:r>
    </w:p>
    <w:p>
      <w:pPr>
        <w:pStyle w:val="2"/>
        <w:spacing w:before="229" w:line="583" w:lineRule="exact"/>
        <w:jc w:val="right"/>
      </w:pPr>
      <w:r>
        <w:rPr>
          <w:spacing w:val="-9"/>
          <w:position w:val="21"/>
        </w:rPr>
        <w:t>（1）申请资质等级评定的上一年度其会展业务的收入人民币</w:t>
      </w:r>
      <w:r>
        <w:rPr>
          <w:spacing w:val="-30"/>
          <w:position w:val="21"/>
        </w:rPr>
        <w:t xml:space="preserve"> </w:t>
      </w:r>
      <w:r>
        <w:rPr>
          <w:spacing w:val="-9"/>
          <w:position w:val="21"/>
        </w:rPr>
        <w:t>1000</w:t>
      </w:r>
      <w:r>
        <w:rPr>
          <w:spacing w:val="-58"/>
          <w:position w:val="21"/>
        </w:rPr>
        <w:t xml:space="preserve"> </w:t>
      </w:r>
      <w:r>
        <w:rPr>
          <w:spacing w:val="-9"/>
          <w:position w:val="21"/>
        </w:rPr>
        <w:t>万元（含）</w:t>
      </w:r>
    </w:p>
    <w:p>
      <w:pPr>
        <w:pStyle w:val="2"/>
        <w:spacing w:line="222" w:lineRule="auto"/>
        <w:ind w:left="35"/>
      </w:pPr>
      <w:r>
        <w:rPr>
          <w:spacing w:val="-16"/>
        </w:rPr>
        <w:t>以上；</w:t>
      </w:r>
    </w:p>
    <w:p>
      <w:pPr>
        <w:pStyle w:val="2"/>
        <w:spacing w:before="222" w:line="584" w:lineRule="exact"/>
        <w:ind w:left="614"/>
      </w:pPr>
      <w:r>
        <w:rPr>
          <w:spacing w:val="2"/>
          <w:position w:val="21"/>
        </w:rPr>
        <w:t>（2）申请资质等级评定的前三年内，独立主办过不少于二项（含）</w:t>
      </w:r>
      <w:r>
        <w:rPr>
          <w:spacing w:val="1"/>
          <w:position w:val="21"/>
        </w:rPr>
        <w:t>广州市</w:t>
      </w:r>
    </w:p>
    <w:p>
      <w:pPr>
        <w:pStyle w:val="2"/>
        <w:spacing w:line="220" w:lineRule="auto"/>
      </w:pPr>
      <w:r>
        <w:rPr>
          <w:spacing w:val="-3"/>
        </w:rPr>
        <w:t>优秀展项；</w:t>
      </w:r>
    </w:p>
    <w:p>
      <w:pPr>
        <w:pStyle w:val="2"/>
        <w:spacing w:before="225" w:line="586" w:lineRule="exact"/>
        <w:ind w:left="614"/>
      </w:pPr>
      <w:r>
        <w:rPr>
          <w:spacing w:val="2"/>
          <w:position w:val="21"/>
        </w:rPr>
        <w:t>（3）申请资质等级评定的前三年内，独立主（承）办过一次（含）</w:t>
      </w:r>
      <w:r>
        <w:rPr>
          <w:spacing w:val="1"/>
          <w:position w:val="21"/>
        </w:rPr>
        <w:t>以上市</w:t>
      </w:r>
    </w:p>
    <w:p>
      <w:pPr>
        <w:pStyle w:val="2"/>
        <w:spacing w:before="1" w:line="220" w:lineRule="auto"/>
        <w:ind w:left="5"/>
      </w:pPr>
      <w:r>
        <w:rPr>
          <w:spacing w:val="-3"/>
        </w:rPr>
        <w:t>级大型节事活动；</w:t>
      </w:r>
    </w:p>
    <w:p>
      <w:pPr>
        <w:pStyle w:val="2"/>
        <w:spacing w:before="225" w:line="583" w:lineRule="exact"/>
        <w:ind w:left="614"/>
      </w:pPr>
      <w:r>
        <w:rPr>
          <w:spacing w:val="1"/>
          <w:position w:val="21"/>
        </w:rPr>
        <w:t>（4）申请资质等级评定的前三年内，独立承办过不少于</w:t>
      </w:r>
      <w:r>
        <w:rPr>
          <w:spacing w:val="-58"/>
          <w:position w:val="21"/>
        </w:rPr>
        <w:t xml:space="preserve"> </w:t>
      </w:r>
      <w:r>
        <w:rPr>
          <w:spacing w:val="1"/>
          <w:position w:val="21"/>
        </w:rPr>
        <w:t>2</w:t>
      </w:r>
      <w:r>
        <w:rPr>
          <w:spacing w:val="-61"/>
          <w:position w:val="21"/>
        </w:rPr>
        <w:t xml:space="preserve"> </w:t>
      </w:r>
      <w:r>
        <w:rPr>
          <w:spacing w:val="1"/>
          <w:position w:val="21"/>
        </w:rPr>
        <w:t>个政府部门主办</w:t>
      </w:r>
    </w:p>
    <w:p>
      <w:pPr>
        <w:pStyle w:val="2"/>
        <w:spacing w:line="219" w:lineRule="auto"/>
        <w:ind w:left="25"/>
      </w:pPr>
      <w:r>
        <w:rPr>
          <w:spacing w:val="-3"/>
        </w:rPr>
        <w:t>的</w:t>
      </w:r>
      <w:r>
        <w:rPr>
          <w:spacing w:val="-42"/>
        </w:rPr>
        <w:t xml:space="preserve"> </w:t>
      </w:r>
      <w:r>
        <w:rPr>
          <w:spacing w:val="-3"/>
        </w:rPr>
        <w:t>10000</w:t>
      </w:r>
      <w:r>
        <w:rPr>
          <w:spacing w:val="-64"/>
        </w:rPr>
        <w:t xml:space="preserve"> </w:t>
      </w:r>
      <w:r>
        <w:rPr>
          <w:spacing w:val="-3"/>
        </w:rPr>
        <w:t>平方米（含）以上的国际展览会或</w:t>
      </w:r>
      <w:r>
        <w:rPr>
          <w:spacing w:val="-58"/>
        </w:rPr>
        <w:t xml:space="preserve"> </w:t>
      </w:r>
      <w:r>
        <w:rPr>
          <w:spacing w:val="-3"/>
        </w:rPr>
        <w:t>300</w:t>
      </w:r>
      <w:r>
        <w:rPr>
          <w:spacing w:val="-60"/>
        </w:rPr>
        <w:t xml:space="preserve"> </w:t>
      </w:r>
      <w:r>
        <w:rPr>
          <w:spacing w:val="-3"/>
        </w:rPr>
        <w:t>人（含）以上</w:t>
      </w:r>
      <w:r>
        <w:rPr>
          <w:spacing w:val="-4"/>
        </w:rPr>
        <w:t>的国际会议；</w:t>
      </w:r>
    </w:p>
    <w:p>
      <w:pPr>
        <w:spacing w:line="219" w:lineRule="auto"/>
        <w:sectPr>
          <w:footerReference r:id="rId8" w:type="default"/>
          <w:pgSz w:w="11906" w:h="16839"/>
          <w:pgMar w:top="1118" w:right="621" w:bottom="1431" w:left="730" w:header="0" w:footer="1179" w:gutter="0"/>
          <w:cols w:space="720" w:num="1"/>
        </w:sectPr>
      </w:pPr>
    </w:p>
    <w:p>
      <w:pPr>
        <w:pStyle w:val="2"/>
        <w:spacing w:before="59" w:line="221" w:lineRule="auto"/>
        <w:ind w:left="607"/>
      </w:pPr>
      <w:r>
        <w:rPr>
          <w:spacing w:val="-4"/>
        </w:rPr>
        <w:t>5、专职从业人员不少于</w:t>
      </w:r>
      <w:r>
        <w:rPr>
          <w:spacing w:val="-30"/>
        </w:rPr>
        <w:t xml:space="preserve"> </w:t>
      </w:r>
      <w:r>
        <w:rPr>
          <w:spacing w:val="-4"/>
        </w:rPr>
        <w:t>15</w:t>
      </w:r>
      <w:r>
        <w:rPr>
          <w:spacing w:val="-63"/>
        </w:rPr>
        <w:t xml:space="preserve"> </w:t>
      </w:r>
      <w:r>
        <w:rPr>
          <w:spacing w:val="-4"/>
        </w:rPr>
        <w:t>人，其中中级职称不少于</w:t>
      </w:r>
      <w:r>
        <w:rPr>
          <w:spacing w:val="-58"/>
        </w:rPr>
        <w:t xml:space="preserve"> </w:t>
      </w:r>
      <w:r>
        <w:rPr>
          <w:spacing w:val="-4"/>
        </w:rPr>
        <w:t>5</w:t>
      </w:r>
      <w:r>
        <w:rPr>
          <w:spacing w:val="-60"/>
        </w:rPr>
        <w:t xml:space="preserve"> </w:t>
      </w:r>
      <w:r>
        <w:rPr>
          <w:spacing w:val="-4"/>
        </w:rPr>
        <w:t>人；</w:t>
      </w:r>
    </w:p>
    <w:p>
      <w:pPr>
        <w:pStyle w:val="2"/>
        <w:spacing w:before="224" w:line="586" w:lineRule="exact"/>
        <w:ind w:left="603"/>
      </w:pPr>
      <w:r>
        <w:rPr>
          <w:spacing w:val="-7"/>
          <w:position w:val="21"/>
        </w:rPr>
        <w:t>6、遵守国家有关法律法规，认真执行《广州市展览业管理办法》，积极参与</w:t>
      </w:r>
    </w:p>
    <w:p>
      <w:pPr>
        <w:pStyle w:val="2"/>
        <w:spacing w:line="219" w:lineRule="auto"/>
        <w:ind w:left="3"/>
      </w:pPr>
      <w:r>
        <w:rPr>
          <w:spacing w:val="-1"/>
        </w:rPr>
        <w:t>社会公益活动，支持广州市会展行业协会及主办机构工作委员会的工作；</w:t>
      </w:r>
    </w:p>
    <w:p>
      <w:pPr>
        <w:spacing w:line="435" w:lineRule="auto"/>
        <w:rPr>
          <w:rFonts w:ascii="Arial"/>
          <w:sz w:val="21"/>
        </w:rPr>
      </w:pPr>
    </w:p>
    <w:p>
      <w:pPr>
        <w:pStyle w:val="2"/>
        <w:spacing w:before="98" w:line="221" w:lineRule="auto"/>
        <w:ind w:left="53"/>
      </w:pPr>
      <w:r>
        <w:rPr>
          <w:spacing w:val="-8"/>
          <w14:textOutline w14:w="5448" w14:cap="sq" w14:cmpd="sng">
            <w14:solidFill>
              <w14:srgbClr w14:val="000000"/>
            </w14:solidFill>
            <w14:prstDash w14:val="solid"/>
            <w14:bevel/>
          </w14:textOutline>
        </w:rPr>
        <w:t>(三)</w:t>
      </w:r>
      <w:r>
        <w:rPr>
          <w:spacing w:val="101"/>
        </w:rPr>
        <w:t xml:space="preserve"> </w:t>
      </w:r>
      <w:r>
        <w:rPr>
          <w:spacing w:val="-8"/>
          <w14:textOutline w14:w="5448" w14:cap="sq" w14:cmpd="sng">
            <w14:solidFill>
              <w14:srgbClr w14:val="000000"/>
            </w14:solidFill>
            <w14:prstDash w14:val="solid"/>
            <w14:bevel/>
          </w14:textOutline>
        </w:rPr>
        <w:t>三级资质标准</w:t>
      </w:r>
    </w:p>
    <w:p>
      <w:pPr>
        <w:pStyle w:val="2"/>
        <w:spacing w:before="226" w:line="584" w:lineRule="exact"/>
        <w:ind w:left="623"/>
      </w:pPr>
      <w:r>
        <w:rPr>
          <w:spacing w:val="-4"/>
          <w:position w:val="21"/>
        </w:rPr>
        <w:t>1、主办机构的注册资本金人民币</w:t>
      </w:r>
      <w:r>
        <w:rPr>
          <w:spacing w:val="-54"/>
          <w:position w:val="21"/>
        </w:rPr>
        <w:t xml:space="preserve"> </w:t>
      </w:r>
      <w:r>
        <w:rPr>
          <w:spacing w:val="-4"/>
          <w:position w:val="21"/>
        </w:rPr>
        <w:t>50</w:t>
      </w:r>
      <w:r>
        <w:rPr>
          <w:spacing w:val="-55"/>
          <w:position w:val="21"/>
        </w:rPr>
        <w:t xml:space="preserve"> </w:t>
      </w:r>
      <w:r>
        <w:rPr>
          <w:spacing w:val="-4"/>
          <w:position w:val="21"/>
        </w:rPr>
        <w:t>万元（含）以上或最近三年每年年终总</w:t>
      </w:r>
    </w:p>
    <w:p>
      <w:pPr>
        <w:pStyle w:val="2"/>
        <w:spacing w:line="219" w:lineRule="auto"/>
        <w:ind w:left="14"/>
      </w:pPr>
      <w:r>
        <w:rPr>
          <w:spacing w:val="-4"/>
        </w:rPr>
        <w:t>资产达人民币</w:t>
      </w:r>
      <w:r>
        <w:rPr>
          <w:spacing w:val="-53"/>
        </w:rPr>
        <w:t xml:space="preserve"> </w:t>
      </w:r>
      <w:r>
        <w:rPr>
          <w:spacing w:val="-4"/>
        </w:rPr>
        <w:t>200</w:t>
      </w:r>
      <w:r>
        <w:rPr>
          <w:spacing w:val="-55"/>
        </w:rPr>
        <w:t xml:space="preserve"> </w:t>
      </w:r>
      <w:r>
        <w:rPr>
          <w:spacing w:val="-4"/>
        </w:rPr>
        <w:t>万元（含）以上；</w:t>
      </w:r>
    </w:p>
    <w:p>
      <w:pPr>
        <w:pStyle w:val="2"/>
        <w:spacing w:before="227" w:line="583" w:lineRule="exact"/>
        <w:ind w:left="604"/>
      </w:pPr>
      <w:r>
        <w:rPr>
          <w:spacing w:val="1"/>
          <w:position w:val="21"/>
        </w:rPr>
        <w:t>2、固定的办公用房（非住宅类）建筑面积</w:t>
      </w:r>
      <w:r>
        <w:rPr>
          <w:spacing w:val="-36"/>
          <w:position w:val="21"/>
        </w:rPr>
        <w:t xml:space="preserve"> </w:t>
      </w:r>
      <w:r>
        <w:rPr>
          <w:spacing w:val="1"/>
          <w:position w:val="21"/>
        </w:rPr>
        <w:t>15</w:t>
      </w:r>
      <w:r>
        <w:rPr>
          <w:position w:val="21"/>
        </w:rPr>
        <w:t>0</w:t>
      </w:r>
      <w:r>
        <w:rPr>
          <w:spacing w:val="-62"/>
          <w:position w:val="21"/>
        </w:rPr>
        <w:t xml:space="preserve"> </w:t>
      </w:r>
      <w:r>
        <w:rPr>
          <w:position w:val="21"/>
        </w:rPr>
        <w:t>平方米（含）以上，并有相</w:t>
      </w:r>
    </w:p>
    <w:p>
      <w:pPr>
        <w:pStyle w:val="2"/>
        <w:spacing w:line="220" w:lineRule="auto"/>
        <w:ind w:left="1"/>
      </w:pPr>
      <w:r>
        <w:rPr>
          <w:spacing w:val="-2"/>
        </w:rPr>
        <w:t>应的办公设施；</w:t>
      </w:r>
    </w:p>
    <w:p>
      <w:pPr>
        <w:pStyle w:val="2"/>
        <w:spacing w:before="224" w:line="360" w:lineRule="auto"/>
        <w:ind w:right="124" w:firstLine="607"/>
      </w:pPr>
      <w:r>
        <w:rPr>
          <w:spacing w:val="2"/>
        </w:rPr>
        <w:t xml:space="preserve">3、从事会展主办业务三年（含）以上，并在申请资质等级评定的前三年内 </w:t>
      </w:r>
      <w:r>
        <w:rPr>
          <w:spacing w:val="7"/>
        </w:rPr>
        <w:t>在政府相关机构或其授权的专业管理部门中无重大安全</w:t>
      </w:r>
      <w:r>
        <w:rPr>
          <w:spacing w:val="6"/>
        </w:rPr>
        <w:t>责任事故及诚信不良的</w:t>
      </w:r>
    </w:p>
    <w:p>
      <w:pPr>
        <w:pStyle w:val="2"/>
        <w:spacing w:before="1" w:line="222" w:lineRule="auto"/>
      </w:pPr>
      <w:r>
        <w:rPr>
          <w:spacing w:val="-4"/>
        </w:rPr>
        <w:t>记录；</w:t>
      </w:r>
    </w:p>
    <w:p>
      <w:pPr>
        <w:pStyle w:val="2"/>
        <w:spacing w:before="222" w:line="219" w:lineRule="auto"/>
        <w:ind w:left="600"/>
      </w:pPr>
      <w:r>
        <w:rPr>
          <w:spacing w:val="-1"/>
        </w:rPr>
        <w:t>4、经营会展活动的业绩（以下四项符合其中二项即可</w:t>
      </w:r>
      <w:r>
        <w:rPr>
          <w:spacing w:val="-80"/>
        </w:rPr>
        <w:t>）：</w:t>
      </w:r>
    </w:p>
    <w:p>
      <w:pPr>
        <w:pStyle w:val="2"/>
        <w:spacing w:before="227" w:line="583" w:lineRule="exact"/>
        <w:jc w:val="right"/>
      </w:pPr>
      <w:r>
        <w:rPr>
          <w:spacing w:val="-4"/>
          <w:position w:val="21"/>
        </w:rPr>
        <w:t>（1）申请资质等级评定的上一年度其会展业务的收入人民</w:t>
      </w:r>
      <w:r>
        <w:rPr>
          <w:spacing w:val="-5"/>
          <w:position w:val="21"/>
        </w:rPr>
        <w:t>币</w:t>
      </w:r>
      <w:r>
        <w:rPr>
          <w:spacing w:val="-58"/>
          <w:position w:val="21"/>
        </w:rPr>
        <w:t xml:space="preserve"> </w:t>
      </w:r>
      <w:r>
        <w:rPr>
          <w:spacing w:val="-5"/>
          <w:position w:val="21"/>
        </w:rPr>
        <w:t>500</w:t>
      </w:r>
      <w:r>
        <w:rPr>
          <w:spacing w:val="-55"/>
          <w:position w:val="21"/>
        </w:rPr>
        <w:t xml:space="preserve"> </w:t>
      </w:r>
      <w:r>
        <w:rPr>
          <w:spacing w:val="-5"/>
          <w:position w:val="21"/>
        </w:rPr>
        <w:t>万元（含）</w:t>
      </w:r>
    </w:p>
    <w:p>
      <w:pPr>
        <w:pStyle w:val="2"/>
        <w:spacing w:before="1" w:line="222" w:lineRule="auto"/>
        <w:ind w:left="35"/>
      </w:pPr>
      <w:r>
        <w:rPr>
          <w:spacing w:val="-16"/>
        </w:rPr>
        <w:t>以上；</w:t>
      </w:r>
    </w:p>
    <w:p>
      <w:pPr>
        <w:pStyle w:val="2"/>
        <w:spacing w:before="222" w:line="583" w:lineRule="exact"/>
        <w:ind w:left="614"/>
      </w:pPr>
      <w:r>
        <w:rPr>
          <w:spacing w:val="2"/>
          <w:position w:val="21"/>
        </w:rPr>
        <w:t>（2）申请资质等级评定的前三年内，独立主办过不少于一项（含）</w:t>
      </w:r>
      <w:r>
        <w:rPr>
          <w:spacing w:val="1"/>
          <w:position w:val="21"/>
        </w:rPr>
        <w:t>广州市</w:t>
      </w:r>
    </w:p>
    <w:p>
      <w:pPr>
        <w:pStyle w:val="2"/>
        <w:spacing w:line="220" w:lineRule="auto"/>
      </w:pPr>
      <w:r>
        <w:rPr>
          <w:spacing w:val="-3"/>
        </w:rPr>
        <w:t>优秀展项；</w:t>
      </w:r>
    </w:p>
    <w:p>
      <w:pPr>
        <w:pStyle w:val="2"/>
        <w:spacing w:before="228" w:line="583" w:lineRule="exact"/>
        <w:ind w:left="614"/>
      </w:pPr>
      <w:r>
        <w:rPr>
          <w:spacing w:val="2"/>
          <w:position w:val="21"/>
        </w:rPr>
        <w:t>（3）申请资质等级评定的前三年内，独立主（承）办过二次（含）</w:t>
      </w:r>
      <w:r>
        <w:rPr>
          <w:spacing w:val="1"/>
          <w:position w:val="21"/>
        </w:rPr>
        <w:t>区域相</w:t>
      </w:r>
    </w:p>
    <w:p>
      <w:pPr>
        <w:pStyle w:val="2"/>
        <w:spacing w:line="220" w:lineRule="auto"/>
        <w:ind w:left="3"/>
      </w:pPr>
      <w:r>
        <w:rPr>
          <w:spacing w:val="-2"/>
        </w:rPr>
        <w:t>等区级的大型节事活动；</w:t>
      </w:r>
    </w:p>
    <w:p>
      <w:pPr>
        <w:pStyle w:val="2"/>
        <w:spacing w:before="226" w:line="583" w:lineRule="exact"/>
        <w:jc w:val="right"/>
      </w:pPr>
      <w:r>
        <w:rPr>
          <w:spacing w:val="-15"/>
          <w:position w:val="21"/>
        </w:rPr>
        <w:t>（4）申请资质等级评定的前三年内，独立承办过不少于</w:t>
      </w:r>
      <w:r>
        <w:rPr>
          <w:spacing w:val="-75"/>
          <w:position w:val="21"/>
        </w:rPr>
        <w:t xml:space="preserve"> </w:t>
      </w:r>
      <w:r>
        <w:rPr>
          <w:spacing w:val="-15"/>
          <w:position w:val="21"/>
        </w:rPr>
        <w:t>2</w:t>
      </w:r>
      <w:r>
        <w:rPr>
          <w:spacing w:val="-77"/>
          <w:position w:val="21"/>
        </w:rPr>
        <w:t xml:space="preserve"> </w:t>
      </w:r>
      <w:r>
        <w:rPr>
          <w:spacing w:val="-15"/>
          <w:position w:val="21"/>
        </w:rPr>
        <w:t>个</w:t>
      </w:r>
      <w:r>
        <w:rPr>
          <w:spacing w:val="-72"/>
          <w:position w:val="21"/>
        </w:rPr>
        <w:t xml:space="preserve"> </w:t>
      </w:r>
      <w:r>
        <w:rPr>
          <w:spacing w:val="-15"/>
          <w:position w:val="21"/>
        </w:rPr>
        <w:t>5000</w:t>
      </w:r>
      <w:r>
        <w:rPr>
          <w:spacing w:val="-78"/>
          <w:position w:val="21"/>
        </w:rPr>
        <w:t xml:space="preserve"> </w:t>
      </w:r>
      <w:r>
        <w:rPr>
          <w:spacing w:val="-15"/>
          <w:position w:val="21"/>
        </w:rPr>
        <w:t>平</w:t>
      </w:r>
      <w:r>
        <w:rPr>
          <w:spacing w:val="-16"/>
          <w:position w:val="21"/>
        </w:rPr>
        <w:t>方米（含）</w:t>
      </w:r>
    </w:p>
    <w:p>
      <w:pPr>
        <w:pStyle w:val="2"/>
        <w:spacing w:before="1" w:line="219" w:lineRule="auto"/>
        <w:ind w:left="35"/>
      </w:pPr>
      <w:r>
        <w:rPr>
          <w:spacing w:val="-3"/>
        </w:rPr>
        <w:t>以上的国际展览会或</w:t>
      </w:r>
      <w:r>
        <w:rPr>
          <w:spacing w:val="-60"/>
        </w:rPr>
        <w:t xml:space="preserve"> </w:t>
      </w:r>
      <w:r>
        <w:rPr>
          <w:spacing w:val="-3"/>
        </w:rPr>
        <w:t>200</w:t>
      </w:r>
      <w:r>
        <w:rPr>
          <w:spacing w:val="-60"/>
        </w:rPr>
        <w:t xml:space="preserve"> </w:t>
      </w:r>
      <w:r>
        <w:rPr>
          <w:spacing w:val="-3"/>
        </w:rPr>
        <w:t>人（含）以上的</w:t>
      </w:r>
      <w:r>
        <w:rPr>
          <w:spacing w:val="-4"/>
        </w:rPr>
        <w:t>国际会议；</w:t>
      </w:r>
    </w:p>
    <w:p>
      <w:pPr>
        <w:pStyle w:val="2"/>
        <w:spacing w:before="226" w:line="221" w:lineRule="auto"/>
        <w:ind w:left="607"/>
      </w:pPr>
      <w:r>
        <w:rPr>
          <w:spacing w:val="-3"/>
        </w:rPr>
        <w:t>5、专职从业人员不少于</w:t>
      </w:r>
      <w:r>
        <w:rPr>
          <w:spacing w:val="-61"/>
        </w:rPr>
        <w:t xml:space="preserve"> </w:t>
      </w:r>
      <w:r>
        <w:rPr>
          <w:spacing w:val="-3"/>
        </w:rPr>
        <w:t>8</w:t>
      </w:r>
      <w:r>
        <w:rPr>
          <w:spacing w:val="-63"/>
        </w:rPr>
        <w:t xml:space="preserve"> </w:t>
      </w:r>
      <w:r>
        <w:rPr>
          <w:spacing w:val="-3"/>
        </w:rPr>
        <w:t>人，其中中级职称不少于</w:t>
      </w:r>
      <w:r>
        <w:rPr>
          <w:spacing w:val="-56"/>
        </w:rPr>
        <w:t xml:space="preserve"> </w:t>
      </w:r>
      <w:r>
        <w:rPr>
          <w:spacing w:val="-3"/>
        </w:rPr>
        <w:t>3</w:t>
      </w:r>
      <w:r>
        <w:rPr>
          <w:spacing w:val="-62"/>
        </w:rPr>
        <w:t xml:space="preserve"> </w:t>
      </w:r>
      <w:r>
        <w:rPr>
          <w:spacing w:val="-3"/>
        </w:rPr>
        <w:t>人；</w:t>
      </w:r>
    </w:p>
    <w:p>
      <w:pPr>
        <w:pStyle w:val="2"/>
        <w:spacing w:before="227" w:line="583" w:lineRule="exact"/>
        <w:ind w:left="603"/>
      </w:pPr>
      <w:r>
        <w:rPr>
          <w:spacing w:val="-7"/>
          <w:position w:val="21"/>
        </w:rPr>
        <w:t>6、遵守国家有关法律法规，认真执行《广州市展览业管理办法》，积极参与</w:t>
      </w:r>
    </w:p>
    <w:p>
      <w:pPr>
        <w:pStyle w:val="2"/>
        <w:spacing w:before="1" w:line="219" w:lineRule="auto"/>
        <w:ind w:left="3"/>
      </w:pPr>
      <w:r>
        <w:rPr>
          <w:spacing w:val="-1"/>
        </w:rPr>
        <w:t>社会公益活动，支持广州市会展行业协会及主办机构工作委员会的工作。</w:t>
      </w:r>
    </w:p>
    <w:p>
      <w:pPr>
        <w:spacing w:line="219" w:lineRule="auto"/>
        <w:sectPr>
          <w:footerReference r:id="rId9" w:type="default"/>
          <w:pgSz w:w="11906" w:h="16839"/>
          <w:pgMar w:top="1118" w:right="621" w:bottom="1431" w:left="730" w:header="0" w:footer="1179" w:gutter="0"/>
          <w:cols w:space="720" w:num="1"/>
        </w:sectPr>
      </w:pPr>
    </w:p>
    <w:p>
      <w:pPr>
        <w:pStyle w:val="2"/>
        <w:spacing w:before="60" w:line="220" w:lineRule="auto"/>
        <w:ind w:left="3564"/>
        <w:outlineLvl w:val="6"/>
      </w:pPr>
      <w:r>
        <w:rPr>
          <w14:textOutline w14:w="5448" w14:cap="sq" w14:cmpd="sng">
            <w14:solidFill>
              <w14:srgbClr w14:val="000000"/>
            </w14:solidFill>
            <w14:prstDash w14:val="solid"/>
            <w14:bevel/>
          </w14:textOutline>
        </w:rPr>
        <w:t>三、资质等级申报与评定</w:t>
      </w: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pPr>
      <w:r>
        <w:rPr>
          <w:spacing w:val="-9"/>
          <w14:textOutline w14:w="5448" w14:cap="sq" w14:cmpd="sng">
            <w14:solidFill>
              <w14:srgbClr w14:val="000000"/>
            </w14:solidFill>
            <w14:prstDash w14:val="solid"/>
            <w14:bevel/>
          </w14:textOutline>
        </w:rPr>
        <w:t>第九条</w:t>
      </w:r>
      <w:r>
        <w:rPr>
          <w:spacing w:val="28"/>
        </w:rPr>
        <w:t xml:space="preserve">  </w:t>
      </w:r>
      <w:r>
        <w:rPr>
          <w:spacing w:val="-9"/>
          <w14:textOutline w14:w="5448" w14:cap="sq" w14:cmpd="sng">
            <w14:solidFill>
              <w14:srgbClr w14:val="000000"/>
            </w14:solidFill>
            <w14:prstDash w14:val="solid"/>
            <w14:bevel/>
          </w14:textOutline>
        </w:rPr>
        <w:t>申报原则</w:t>
      </w:r>
    </w:p>
    <w:p>
      <w:pPr>
        <w:pStyle w:val="2"/>
        <w:spacing w:before="266" w:line="624" w:lineRule="exact"/>
        <w:ind w:left="622"/>
      </w:pPr>
      <w:r>
        <w:rPr>
          <w:spacing w:val="-2"/>
          <w:position w:val="24"/>
        </w:rPr>
        <w:t>1、凡在广州市登记注册的主办机构均应主动申报。</w:t>
      </w:r>
    </w:p>
    <w:p>
      <w:pPr>
        <w:pStyle w:val="2"/>
        <w:spacing w:line="219" w:lineRule="auto"/>
        <w:ind w:left="603"/>
      </w:pPr>
      <w:r>
        <w:rPr>
          <w:spacing w:val="-1"/>
        </w:rPr>
        <w:t>2、非广州市登记注册的主办机构可自愿申报。</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pPr>
      <w:r>
        <w:rPr>
          <w:spacing w:val="-9"/>
          <w14:textOutline w14:w="5448" w14:cap="sq" w14:cmpd="sng">
            <w14:solidFill>
              <w14:srgbClr w14:val="000000"/>
            </w14:solidFill>
            <w14:prstDash w14:val="solid"/>
            <w14:bevel/>
          </w14:textOutline>
        </w:rPr>
        <w:t>第十条</w:t>
      </w:r>
      <w:r>
        <w:rPr>
          <w:spacing w:val="28"/>
        </w:rPr>
        <w:t xml:space="preserve">  </w:t>
      </w:r>
      <w:r>
        <w:rPr>
          <w:spacing w:val="-9"/>
          <w14:textOutline w14:w="5448" w14:cap="sq" w14:cmpd="sng">
            <w14:solidFill>
              <w14:srgbClr w14:val="000000"/>
            </w14:solidFill>
            <w14:prstDash w14:val="solid"/>
            <w14:bevel/>
          </w14:textOutline>
        </w:rPr>
        <w:t>申报文件</w:t>
      </w:r>
    </w:p>
    <w:p>
      <w:pPr>
        <w:pStyle w:val="2"/>
        <w:spacing w:before="267" w:line="219" w:lineRule="auto"/>
        <w:jc w:val="right"/>
      </w:pPr>
      <w:r>
        <w:rPr>
          <w:spacing w:val="-3"/>
        </w:rPr>
        <w:t>凡达到相应资质等级的主办机构，须提出书面申请，并备妥以下相关资料：</w:t>
      </w:r>
    </w:p>
    <w:p>
      <w:pPr>
        <w:pStyle w:val="2"/>
        <w:spacing w:before="268" w:line="219" w:lineRule="auto"/>
        <w:ind w:left="622"/>
      </w:pPr>
      <w:r>
        <w:rPr>
          <w:spacing w:val="-3"/>
        </w:rPr>
        <w:t>1、申报企业基本情况表；</w:t>
      </w:r>
    </w:p>
    <w:p>
      <w:pPr>
        <w:pStyle w:val="2"/>
        <w:spacing w:before="268" w:line="219" w:lineRule="auto"/>
        <w:ind w:left="603"/>
      </w:pPr>
      <w:r>
        <w:rPr>
          <w:spacing w:val="-2"/>
        </w:rPr>
        <w:t>2、企业法人营业执照（提供复印件</w:t>
      </w:r>
      <w:r>
        <w:rPr>
          <w:spacing w:val="7"/>
        </w:rPr>
        <w:t>）；</w:t>
      </w:r>
    </w:p>
    <w:p>
      <w:pPr>
        <w:pStyle w:val="2"/>
        <w:spacing w:before="268" w:line="624" w:lineRule="exact"/>
        <w:ind w:right="91"/>
        <w:jc w:val="right"/>
      </w:pPr>
      <w:r>
        <w:rPr>
          <w:spacing w:val="-1"/>
          <w:position w:val="24"/>
        </w:rPr>
        <w:t>3、法人代表情况表（提供企业法人或经营负责人简历、职称或资格证书等</w:t>
      </w:r>
    </w:p>
    <w:p>
      <w:pPr>
        <w:pStyle w:val="2"/>
        <w:spacing w:line="220" w:lineRule="auto"/>
        <w:ind w:left="8"/>
      </w:pPr>
      <w:r>
        <w:rPr>
          <w:spacing w:val="-7"/>
        </w:rPr>
        <w:t>复印件</w:t>
      </w:r>
      <w:r>
        <w:t>）；</w:t>
      </w:r>
    </w:p>
    <w:p>
      <w:pPr>
        <w:pStyle w:val="2"/>
        <w:spacing w:before="266" w:line="624" w:lineRule="exact"/>
        <w:ind w:right="91"/>
        <w:jc w:val="right"/>
      </w:pPr>
      <w:r>
        <w:rPr>
          <w:position w:val="24"/>
        </w:rPr>
        <w:t>4、主要从业人员一览表（附企业专业技术人</w:t>
      </w:r>
      <w:r>
        <w:rPr>
          <w:spacing w:val="-1"/>
          <w:position w:val="24"/>
        </w:rPr>
        <w:t>员、财务、党员、管理人员学</w:t>
      </w:r>
    </w:p>
    <w:p>
      <w:pPr>
        <w:pStyle w:val="2"/>
        <w:spacing w:before="1" w:line="219" w:lineRule="auto"/>
        <w:ind w:left="3"/>
      </w:pPr>
      <w:r>
        <w:rPr>
          <w:spacing w:val="-2"/>
        </w:rPr>
        <w:t>历、职称证书等复印件</w:t>
      </w:r>
      <w:r>
        <w:rPr>
          <w:spacing w:val="1"/>
        </w:rPr>
        <w:t>）；</w:t>
      </w:r>
    </w:p>
    <w:p>
      <w:pPr>
        <w:pStyle w:val="2"/>
        <w:spacing w:before="268" w:line="220" w:lineRule="auto"/>
        <w:ind w:left="606"/>
      </w:pPr>
      <w:r>
        <w:rPr>
          <w:spacing w:val="-2"/>
        </w:rPr>
        <w:t>5、公司股东构成及管理组织结构图；</w:t>
      </w:r>
    </w:p>
    <w:p>
      <w:pPr>
        <w:pStyle w:val="2"/>
        <w:spacing w:before="267" w:line="219" w:lineRule="auto"/>
        <w:ind w:left="602"/>
      </w:pPr>
      <w:r>
        <w:rPr>
          <w:spacing w:val="-1"/>
        </w:rPr>
        <w:t>6、办公、厂房的场地自有或租赁证明（提供复印件</w:t>
      </w:r>
      <w:r>
        <w:rPr>
          <w:spacing w:val="3"/>
        </w:rPr>
        <w:t>）；</w:t>
      </w:r>
    </w:p>
    <w:p>
      <w:pPr>
        <w:pStyle w:val="2"/>
        <w:spacing w:before="268" w:line="219" w:lineRule="auto"/>
        <w:ind w:left="607"/>
      </w:pPr>
      <w:r>
        <w:rPr>
          <w:spacing w:val="-1"/>
        </w:rPr>
        <w:t>7、企业荣誉、资质情况（提供已获荣誉、资质证书复印件</w:t>
      </w:r>
      <w:r>
        <w:rPr>
          <w:spacing w:val="2"/>
        </w:rPr>
        <w:t>）；</w:t>
      </w:r>
    </w:p>
    <w:p>
      <w:pPr>
        <w:pStyle w:val="2"/>
        <w:spacing w:before="267" w:line="624" w:lineRule="exact"/>
        <w:jc w:val="right"/>
      </w:pPr>
      <w:r>
        <w:rPr>
          <w:spacing w:val="2"/>
          <w:position w:val="24"/>
        </w:rPr>
        <w:t>8、企业近三年独立主（承）办会展活动一览表（附会展活动业绩简述，包</w:t>
      </w:r>
    </w:p>
    <w:p>
      <w:pPr>
        <w:pStyle w:val="2"/>
        <w:spacing w:before="1" w:line="219" w:lineRule="auto"/>
        <w:jc w:val="right"/>
      </w:pPr>
      <w:r>
        <w:rPr>
          <w:spacing w:val="-1"/>
        </w:rPr>
        <w:t>括规模、办展成效、行业影响、商誉等情况；不少于</w:t>
      </w:r>
      <w:r>
        <w:rPr>
          <w:spacing w:val="-65"/>
        </w:rPr>
        <w:t xml:space="preserve"> </w:t>
      </w:r>
      <w:r>
        <w:rPr>
          <w:spacing w:val="-1"/>
        </w:rPr>
        <w:t>400</w:t>
      </w:r>
      <w:r>
        <w:rPr>
          <w:spacing w:val="-61"/>
        </w:rPr>
        <w:t xml:space="preserve"> </w:t>
      </w:r>
      <w:r>
        <w:rPr>
          <w:spacing w:val="-1"/>
        </w:rPr>
        <w:t>字，包括但</w:t>
      </w:r>
      <w:r>
        <w:rPr>
          <w:spacing w:val="-2"/>
        </w:rPr>
        <w:t>不限于</w:t>
      </w:r>
      <w:r>
        <w:rPr>
          <w:spacing w:val="-37"/>
        </w:rPr>
        <w:t>）；</w:t>
      </w:r>
    </w:p>
    <w:p>
      <w:pPr>
        <w:pStyle w:val="2"/>
        <w:spacing w:before="267" w:line="624" w:lineRule="exact"/>
        <w:ind w:right="91"/>
        <w:jc w:val="right"/>
      </w:pPr>
      <w:r>
        <w:rPr>
          <w:spacing w:val="-1"/>
          <w:position w:val="24"/>
        </w:rPr>
        <w:t>9、企业连续三年的财务报表、最近一年的年终资产负债表，如有审计报告</w:t>
      </w:r>
    </w:p>
    <w:p>
      <w:pPr>
        <w:pStyle w:val="2"/>
        <w:spacing w:before="1" w:line="219" w:lineRule="auto"/>
        <w:ind w:left="4"/>
      </w:pPr>
      <w:r>
        <w:rPr>
          <w:spacing w:val="-2"/>
        </w:rPr>
        <w:t>须同时提供（复印件</w:t>
      </w:r>
      <w:r>
        <w:t>）；</w:t>
      </w:r>
    </w:p>
    <w:p>
      <w:pPr>
        <w:pStyle w:val="2"/>
        <w:spacing w:before="268" w:line="219" w:lineRule="auto"/>
        <w:ind w:left="622"/>
      </w:pPr>
      <w:r>
        <w:rPr>
          <w:spacing w:val="-3"/>
        </w:rPr>
        <w:t>10、其他证明文件或补充材料。</w:t>
      </w:r>
    </w:p>
    <w:p>
      <w:pPr>
        <w:spacing w:line="219" w:lineRule="auto"/>
        <w:sectPr>
          <w:footerReference r:id="rId10" w:type="default"/>
          <w:pgSz w:w="11906" w:h="16839"/>
          <w:pgMar w:top="1235" w:right="746" w:bottom="1431" w:left="731" w:header="0" w:footer="1179" w:gutter="0"/>
          <w:cols w:space="720" w:num="1"/>
        </w:sectPr>
      </w:pPr>
    </w:p>
    <w:p>
      <w:pPr>
        <w:pStyle w:val="2"/>
        <w:spacing w:before="60" w:line="220" w:lineRule="auto"/>
      </w:pPr>
      <w:r>
        <w:rPr>
          <w:spacing w:val="-1"/>
          <w14:textOutline w14:w="5448" w14:cap="sq" w14:cmpd="sng">
            <w14:solidFill>
              <w14:srgbClr w14:val="000000"/>
            </w14:solidFill>
            <w14:prstDash w14:val="solid"/>
            <w14:bevel/>
          </w14:textOutline>
        </w:rPr>
        <w:t>第十一条</w:t>
      </w:r>
      <w:r>
        <w:rPr>
          <w:spacing w:val="-1"/>
        </w:rPr>
        <w:t xml:space="preserve"> </w:t>
      </w:r>
      <w:r>
        <w:rPr>
          <w:spacing w:val="-1"/>
          <w14:textOutline w14:w="5448" w14:cap="sq" w14:cmpd="sng">
            <w14:solidFill>
              <w14:srgbClr w14:val="000000"/>
            </w14:solidFill>
            <w14:prstDash w14:val="solid"/>
            <w14:bevel/>
          </w14:textOutline>
        </w:rPr>
        <w:t>评审费用</w:t>
      </w:r>
    </w:p>
    <w:p>
      <w:pPr>
        <w:pStyle w:val="2"/>
        <w:spacing w:before="266" w:line="624" w:lineRule="exact"/>
        <w:jc w:val="right"/>
      </w:pPr>
      <w:r>
        <w:rPr>
          <w:spacing w:val="-2"/>
          <w:position w:val="24"/>
        </w:rPr>
        <w:t>根据上级有关规定，参照其他城市协会的做法，经协会会长工作会</w:t>
      </w:r>
      <w:r>
        <w:rPr>
          <w:spacing w:val="-3"/>
          <w:position w:val="24"/>
        </w:rPr>
        <w:t>议确定收费</w:t>
      </w:r>
    </w:p>
    <w:p>
      <w:pPr>
        <w:pStyle w:val="2"/>
        <w:spacing w:line="219" w:lineRule="auto"/>
        <w:ind w:left="13"/>
      </w:pPr>
      <w:r>
        <w:rPr>
          <w:spacing w:val="-2"/>
        </w:rPr>
        <w:t>（含专家考核评审费用，证件工本费用）标准为：</w:t>
      </w:r>
    </w:p>
    <w:p>
      <w:pPr>
        <w:pStyle w:val="2"/>
        <w:spacing w:before="267" w:line="624" w:lineRule="exact"/>
        <w:ind w:left="304"/>
      </w:pPr>
      <w:r>
        <w:rPr>
          <w:spacing w:val="-2"/>
          <w:position w:val="24"/>
        </w:rPr>
        <w:t>一级资质：4000</w:t>
      </w:r>
      <w:r>
        <w:rPr>
          <w:spacing w:val="-55"/>
          <w:position w:val="24"/>
        </w:rPr>
        <w:t xml:space="preserve"> </w:t>
      </w:r>
      <w:r>
        <w:rPr>
          <w:spacing w:val="-2"/>
          <w:position w:val="24"/>
        </w:rPr>
        <w:t>元/次；二级资质：3000</w:t>
      </w:r>
      <w:r>
        <w:rPr>
          <w:spacing w:val="-62"/>
          <w:position w:val="24"/>
        </w:rPr>
        <w:t xml:space="preserve"> </w:t>
      </w:r>
      <w:r>
        <w:rPr>
          <w:spacing w:val="-2"/>
          <w:position w:val="24"/>
        </w:rPr>
        <w:t>元/次；</w:t>
      </w:r>
    </w:p>
    <w:p>
      <w:pPr>
        <w:pStyle w:val="2"/>
        <w:spacing w:line="220" w:lineRule="auto"/>
        <w:ind w:left="300"/>
      </w:pPr>
      <w:r>
        <w:rPr>
          <w:spacing w:val="-2"/>
        </w:rPr>
        <w:t>三级资质：2000</w:t>
      </w:r>
      <w:r>
        <w:rPr>
          <w:spacing w:val="-50"/>
        </w:rPr>
        <w:t xml:space="preserve"> </w:t>
      </w:r>
      <w:r>
        <w:rPr>
          <w:spacing w:val="-2"/>
        </w:rPr>
        <w:t>元/次；资质年审：1000</w:t>
      </w:r>
      <w:r>
        <w:rPr>
          <w:spacing w:val="-62"/>
        </w:rPr>
        <w:t xml:space="preserve"> </w:t>
      </w:r>
      <w:r>
        <w:rPr>
          <w:spacing w:val="-2"/>
        </w:rPr>
        <w:t>元/次；</w:t>
      </w: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pPr>
      <w:r>
        <w:rPr>
          <w:spacing w:val="-1"/>
          <w14:textOutline w14:w="5448" w14:cap="sq" w14:cmpd="sng">
            <w14:solidFill>
              <w14:srgbClr w14:val="000000"/>
            </w14:solidFill>
            <w14:prstDash w14:val="solid"/>
            <w14:bevel/>
          </w14:textOutline>
        </w:rPr>
        <w:t>第十二条</w:t>
      </w:r>
      <w:r>
        <w:rPr>
          <w:spacing w:val="-1"/>
        </w:rPr>
        <w:t xml:space="preserve">  </w:t>
      </w:r>
      <w:r>
        <w:rPr>
          <w:spacing w:val="-1"/>
          <w14:textOutline w14:w="5448" w14:cap="sq" w14:cmpd="sng">
            <w14:solidFill>
              <w14:srgbClr w14:val="000000"/>
            </w14:solidFill>
            <w14:prstDash w14:val="solid"/>
            <w14:bevel/>
          </w14:textOutline>
        </w:rPr>
        <w:t>评审程序</w:t>
      </w:r>
    </w:p>
    <w:p>
      <w:pPr>
        <w:pStyle w:val="2"/>
        <w:spacing w:before="267" w:line="219" w:lineRule="auto"/>
        <w:ind w:left="22"/>
      </w:pPr>
      <w:r>
        <w:rPr>
          <w:spacing w:val="-1"/>
        </w:rPr>
        <w:t>1、第三方评审机构根据报名汇总情况，分别对企业资质申报资料进行</w:t>
      </w:r>
      <w:r>
        <w:rPr>
          <w:spacing w:val="-2"/>
        </w:rPr>
        <w:t>初审；</w:t>
      </w:r>
    </w:p>
    <w:p>
      <w:pPr>
        <w:pStyle w:val="2"/>
        <w:spacing w:before="268" w:line="220" w:lineRule="auto"/>
        <w:ind w:left="3"/>
      </w:pPr>
      <w:r>
        <w:rPr>
          <w:spacing w:val="-1"/>
        </w:rPr>
        <w:t>2、初审合格后由资质评定专家组负责参评企业信息资料的调研测评，为最终评</w:t>
      </w:r>
    </w:p>
    <w:p>
      <w:pPr>
        <w:pStyle w:val="2"/>
        <w:spacing w:before="267" w:line="219" w:lineRule="auto"/>
        <w:ind w:left="456"/>
      </w:pPr>
      <w:r>
        <w:rPr>
          <w:spacing w:val="-2"/>
        </w:rPr>
        <w:t>定提供真实有效的参评依据；</w:t>
      </w:r>
    </w:p>
    <w:p>
      <w:pPr>
        <w:pStyle w:val="2"/>
        <w:spacing w:before="267" w:line="221" w:lineRule="auto"/>
        <w:ind w:left="5"/>
      </w:pPr>
      <w:r>
        <w:rPr>
          <w:spacing w:val="-1"/>
        </w:rPr>
        <w:t>3、由评定工作组和资质评定专家组结合测评资料进行综合审核评定。</w:t>
      </w: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2"/>
        <w:spacing w:before="98" w:line="220" w:lineRule="auto"/>
      </w:pPr>
      <w:r>
        <w:rPr>
          <w:spacing w:val="-1"/>
          <w14:textOutline w14:w="5448" w14:cap="sq" w14:cmpd="sng">
            <w14:solidFill>
              <w14:srgbClr w14:val="000000"/>
            </w14:solidFill>
            <w14:prstDash w14:val="solid"/>
            <w14:bevel/>
          </w14:textOutline>
        </w:rPr>
        <w:t>第十三条</w:t>
      </w:r>
      <w:r>
        <w:rPr>
          <w:spacing w:val="-1"/>
        </w:rPr>
        <w:t xml:space="preserve">  </w:t>
      </w:r>
      <w:r>
        <w:rPr>
          <w:spacing w:val="-1"/>
          <w14:textOutline w14:w="5448" w14:cap="sq" w14:cmpd="sng">
            <w14:solidFill>
              <w14:srgbClr w14:val="000000"/>
            </w14:solidFill>
            <w14:prstDash w14:val="solid"/>
            <w14:bevel/>
          </w14:textOutline>
        </w:rPr>
        <w:t>评审时间</w:t>
      </w:r>
    </w:p>
    <w:p>
      <w:pPr>
        <w:pStyle w:val="2"/>
        <w:spacing w:before="267" w:line="220" w:lineRule="auto"/>
        <w:ind w:left="300"/>
      </w:pPr>
      <w:r>
        <w:rPr>
          <w:spacing w:val="-4"/>
        </w:rPr>
        <w:t>第一期申报时间为</w:t>
      </w:r>
      <w:r>
        <w:rPr>
          <w:spacing w:val="-27"/>
        </w:rPr>
        <w:t xml:space="preserve"> </w:t>
      </w:r>
      <w:r>
        <w:rPr>
          <w:spacing w:val="-4"/>
        </w:rPr>
        <w:t>1-3</w:t>
      </w:r>
      <w:r>
        <w:rPr>
          <w:spacing w:val="-55"/>
        </w:rPr>
        <w:t xml:space="preserve"> </w:t>
      </w:r>
      <w:r>
        <w:rPr>
          <w:spacing w:val="-4"/>
        </w:rPr>
        <w:t>月，第二期申报时间为</w:t>
      </w:r>
      <w:r>
        <w:rPr>
          <w:spacing w:val="-57"/>
        </w:rPr>
        <w:t xml:space="preserve"> </w:t>
      </w:r>
      <w:r>
        <w:rPr>
          <w:spacing w:val="-4"/>
        </w:rPr>
        <w:t>7-9</w:t>
      </w:r>
      <w:r>
        <w:rPr>
          <w:spacing w:val="-55"/>
        </w:rPr>
        <w:t xml:space="preserve"> </w:t>
      </w:r>
      <w:r>
        <w:rPr>
          <w:spacing w:val="-4"/>
        </w:rPr>
        <w:t>月</w:t>
      </w: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pPr>
      <w:r>
        <w:rPr>
          <w:spacing w:val="-1"/>
          <w14:textOutline w14:w="5448" w14:cap="sq" w14:cmpd="sng">
            <w14:solidFill>
              <w14:srgbClr w14:val="000000"/>
            </w14:solidFill>
            <w14:prstDash w14:val="solid"/>
            <w14:bevel/>
          </w14:textOutline>
        </w:rPr>
        <w:t>第十四条</w:t>
      </w:r>
      <w:r>
        <w:rPr>
          <w:spacing w:val="-1"/>
        </w:rPr>
        <w:t xml:space="preserve">  </w:t>
      </w:r>
      <w:r>
        <w:rPr>
          <w:spacing w:val="-1"/>
          <w14:textOutline w14:w="5448" w14:cap="sq" w14:cmpd="sng">
            <w14:solidFill>
              <w14:srgbClr w14:val="000000"/>
            </w14:solidFill>
            <w14:prstDash w14:val="solid"/>
            <w14:bevel/>
          </w14:textOutline>
        </w:rPr>
        <w:t>评审结果公示</w:t>
      </w:r>
    </w:p>
    <w:p>
      <w:pPr>
        <w:pStyle w:val="2"/>
        <w:spacing w:before="267" w:line="624" w:lineRule="exact"/>
        <w:jc w:val="right"/>
      </w:pPr>
      <w:r>
        <w:rPr>
          <w:spacing w:val="-2"/>
          <w:position w:val="24"/>
        </w:rPr>
        <w:t>评定结果在协会网站、媒体上公示，如无投诉或投诉经查核后</w:t>
      </w:r>
      <w:r>
        <w:rPr>
          <w:spacing w:val="-3"/>
          <w:position w:val="24"/>
        </w:rPr>
        <w:t>不影响评审结</w:t>
      </w:r>
    </w:p>
    <w:p>
      <w:pPr>
        <w:pStyle w:val="2"/>
        <w:spacing w:line="219" w:lineRule="auto"/>
        <w:ind w:left="5"/>
      </w:pPr>
      <w:r>
        <w:rPr>
          <w:spacing w:val="-1"/>
        </w:rPr>
        <w:t>果，由协会主办机构工作委员会颁发等级证书。</w:t>
      </w:r>
    </w:p>
    <w:p>
      <w:pPr>
        <w:spacing w:line="219" w:lineRule="auto"/>
        <w:sectPr>
          <w:footerReference r:id="rId11" w:type="default"/>
          <w:pgSz w:w="11906" w:h="16839"/>
          <w:pgMar w:top="1235" w:right="745" w:bottom="1431" w:left="731" w:header="0" w:footer="1179" w:gutter="0"/>
          <w:cols w:space="720" w:num="1"/>
        </w:sectPr>
      </w:pPr>
    </w:p>
    <w:p>
      <w:pPr>
        <w:pStyle w:val="2"/>
        <w:spacing w:before="176" w:line="220" w:lineRule="auto"/>
        <w:ind w:left="4345"/>
        <w:outlineLvl w:val="0"/>
      </w:pPr>
      <w:r>
        <w:rPr>
          <w:spacing w:val="-6"/>
          <w14:textOutline w14:w="5448" w14:cap="sq" w14:cmpd="sng">
            <w14:solidFill>
              <w14:srgbClr w14:val="000000"/>
            </w14:solidFill>
            <w14:prstDash w14:val="solid"/>
            <w14:bevel/>
          </w14:textOutline>
        </w:rPr>
        <w:t>四、资质管理</w:t>
      </w: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pPr>
      <w:r>
        <w:rPr>
          <w:spacing w:val="-4"/>
          <w14:textOutline w14:w="5448" w14:cap="sq" w14:cmpd="sng">
            <w14:solidFill>
              <w14:srgbClr w14:val="000000"/>
            </w14:solidFill>
            <w14:prstDash w14:val="solid"/>
            <w14:bevel/>
          </w14:textOutline>
        </w:rPr>
        <w:t>第十五条</w:t>
      </w:r>
      <w:r>
        <w:rPr>
          <w:spacing w:val="13"/>
        </w:rPr>
        <w:t xml:space="preserve">  </w:t>
      </w:r>
      <w:r>
        <w:rPr>
          <w:spacing w:val="-4"/>
          <w14:textOutline w14:w="5448" w14:cap="sq" w14:cmpd="sng">
            <w14:solidFill>
              <w14:srgbClr w14:val="000000"/>
            </w14:solidFill>
            <w14:prstDash w14:val="solid"/>
            <w14:bevel/>
          </w14:textOutline>
        </w:rPr>
        <w:t>资质年限</w:t>
      </w:r>
    </w:p>
    <w:p>
      <w:pPr>
        <w:pStyle w:val="2"/>
        <w:spacing w:before="266" w:line="220" w:lineRule="auto"/>
        <w:ind w:left="600"/>
      </w:pPr>
      <w:r>
        <w:t>每两年年检一次，第五年进行资质复评。无</w:t>
      </w:r>
      <w:r>
        <w:rPr>
          <w:spacing w:val="-1"/>
        </w:rPr>
        <w:t>年检、年审记录的证件无效。</w:t>
      </w: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pPr>
      <w:r>
        <w:rPr>
          <w:spacing w:val="-1"/>
          <w14:textOutline w14:w="5448" w14:cap="sq" w14:cmpd="sng">
            <w14:solidFill>
              <w14:srgbClr w14:val="000000"/>
            </w14:solidFill>
            <w14:prstDash w14:val="solid"/>
            <w14:bevel/>
          </w14:textOutline>
        </w:rPr>
        <w:t>第十六条</w:t>
      </w:r>
      <w:r>
        <w:rPr>
          <w:spacing w:val="-1"/>
        </w:rPr>
        <w:t xml:space="preserve">  </w:t>
      </w:r>
      <w:r>
        <w:rPr>
          <w:spacing w:val="-1"/>
          <w14:textOutline w14:w="5448" w14:cap="sq" w14:cmpd="sng">
            <w14:solidFill>
              <w14:srgbClr w14:val="000000"/>
            </w14:solidFill>
            <w14:prstDash w14:val="solid"/>
            <w14:bevel/>
          </w14:textOutline>
        </w:rPr>
        <w:t>变更手续</w:t>
      </w:r>
    </w:p>
    <w:p>
      <w:pPr>
        <w:pStyle w:val="2"/>
        <w:spacing w:before="267" w:line="624" w:lineRule="exact"/>
        <w:jc w:val="right"/>
      </w:pPr>
      <w:r>
        <w:rPr>
          <w:spacing w:val="-2"/>
          <w:position w:val="24"/>
        </w:rPr>
        <w:t>主办机构变更名称、注册资金、办公地址、法定代表</w:t>
      </w:r>
      <w:r>
        <w:rPr>
          <w:spacing w:val="-3"/>
          <w:position w:val="24"/>
        </w:rPr>
        <w:t>人等重大信息，应在办</w:t>
      </w:r>
    </w:p>
    <w:p>
      <w:pPr>
        <w:pStyle w:val="2"/>
        <w:spacing w:line="219" w:lineRule="auto"/>
        <w:ind w:left="3"/>
      </w:pPr>
      <w:r>
        <w:rPr>
          <w:spacing w:val="-2"/>
        </w:rPr>
        <w:t>理变更手续后</w:t>
      </w:r>
      <w:r>
        <w:rPr>
          <w:spacing w:val="-57"/>
        </w:rPr>
        <w:t xml:space="preserve"> </w:t>
      </w:r>
      <w:r>
        <w:rPr>
          <w:spacing w:val="-2"/>
        </w:rPr>
        <w:t>30</w:t>
      </w:r>
      <w:r>
        <w:rPr>
          <w:spacing w:val="-59"/>
        </w:rPr>
        <w:t xml:space="preserve"> </w:t>
      </w:r>
      <w:r>
        <w:rPr>
          <w:spacing w:val="-2"/>
        </w:rPr>
        <w:t>天内向市会展协会办理相应的变更手续；</w:t>
      </w:r>
    </w:p>
    <w:p>
      <w:pPr>
        <w:pStyle w:val="2"/>
        <w:spacing w:before="268" w:line="219" w:lineRule="auto"/>
        <w:ind w:left="612"/>
      </w:pPr>
      <w:r>
        <w:rPr>
          <w:spacing w:val="-1"/>
        </w:rPr>
        <w:t>资质等级证书超过有效期的企业必须自觉申请复评，逾期失效。</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8" w:line="220" w:lineRule="auto"/>
      </w:pPr>
      <w:r>
        <w:rPr>
          <w:spacing w:val="-5"/>
          <w14:textOutline w14:w="5448" w14:cap="sq" w14:cmpd="sng">
            <w14:solidFill>
              <w14:srgbClr w14:val="000000"/>
            </w14:solidFill>
            <w14:prstDash w14:val="solid"/>
            <w14:bevel/>
          </w14:textOutline>
        </w:rPr>
        <w:t>第十七条</w:t>
      </w:r>
      <w:r>
        <w:rPr>
          <w:spacing w:val="11"/>
        </w:rPr>
        <w:t xml:space="preserve">  </w:t>
      </w:r>
      <w:r>
        <w:rPr>
          <w:spacing w:val="-5"/>
          <w14:textOutline w14:w="5448" w14:cap="sq" w14:cmpd="sng">
            <w14:solidFill>
              <w14:srgbClr w14:val="000000"/>
            </w14:solidFill>
            <w14:prstDash w14:val="solid"/>
            <w14:bevel/>
          </w14:textOutline>
        </w:rPr>
        <w:t>处罚</w:t>
      </w:r>
    </w:p>
    <w:p>
      <w:pPr>
        <w:pStyle w:val="2"/>
        <w:spacing w:before="267" w:line="384" w:lineRule="auto"/>
        <w:ind w:left="8" w:firstLine="773"/>
        <w:jc w:val="both"/>
      </w:pPr>
      <w:r>
        <w:rPr>
          <w:spacing w:val="1"/>
        </w:rPr>
        <w:t>已通过资质评审的主办机构有下列情形之一者，将视其情节轻重，由广州</w:t>
      </w:r>
      <w:r>
        <w:rPr>
          <w:spacing w:val="11"/>
        </w:rPr>
        <w:t xml:space="preserve"> </w:t>
      </w:r>
      <w:r>
        <w:rPr>
          <w:spacing w:val="-2"/>
        </w:rPr>
        <w:t>市会展业行业协会主办机构工作委员会处以公示警告、</w:t>
      </w:r>
      <w:r>
        <w:rPr>
          <w:spacing w:val="-3"/>
        </w:rPr>
        <w:t>降低资质等级、直到撤销</w:t>
      </w:r>
    </w:p>
    <w:p>
      <w:pPr>
        <w:pStyle w:val="2"/>
        <w:spacing w:line="220" w:lineRule="auto"/>
        <w:ind w:left="12"/>
      </w:pPr>
      <w:r>
        <w:rPr>
          <w:spacing w:val="-3"/>
        </w:rPr>
        <w:t>资质等级等不同处罚：</w:t>
      </w:r>
    </w:p>
    <w:p>
      <w:pPr>
        <w:pStyle w:val="2"/>
        <w:spacing w:before="266" w:line="624" w:lineRule="exact"/>
        <w:ind w:left="622"/>
      </w:pPr>
      <w:r>
        <w:rPr>
          <w:spacing w:val="-2"/>
          <w:position w:val="24"/>
        </w:rPr>
        <w:t>1、违背国家和地方相关法规、从事非法经营活动；</w:t>
      </w:r>
    </w:p>
    <w:p>
      <w:pPr>
        <w:pStyle w:val="2"/>
        <w:spacing w:before="1" w:line="219" w:lineRule="auto"/>
        <w:ind w:left="603"/>
      </w:pPr>
      <w:r>
        <w:rPr>
          <w:spacing w:val="-2"/>
        </w:rPr>
        <w:t>2、进行不实宣传；</w:t>
      </w:r>
    </w:p>
    <w:p>
      <w:pPr>
        <w:pStyle w:val="2"/>
        <w:spacing w:before="267" w:line="220" w:lineRule="auto"/>
        <w:ind w:left="606"/>
      </w:pPr>
      <w:r>
        <w:rPr>
          <w:spacing w:val="-2"/>
        </w:rPr>
        <w:t>3、侵犯他人知识产权；</w:t>
      </w:r>
    </w:p>
    <w:p>
      <w:pPr>
        <w:pStyle w:val="2"/>
        <w:spacing w:before="267" w:line="220" w:lineRule="auto"/>
        <w:ind w:left="598"/>
      </w:pPr>
      <w:r>
        <w:rPr>
          <w:spacing w:val="-1"/>
        </w:rPr>
        <w:t>4、出现重大安全责任事故；</w:t>
      </w:r>
    </w:p>
    <w:p>
      <w:pPr>
        <w:pStyle w:val="2"/>
        <w:spacing w:before="267" w:line="219" w:lineRule="auto"/>
        <w:ind w:left="606"/>
      </w:pPr>
      <w:r>
        <w:rPr>
          <w:spacing w:val="-1"/>
        </w:rPr>
        <w:t>5、扰乱、危害会展市场秩序及会展业健康发展的大环境；</w:t>
      </w:r>
    </w:p>
    <w:p>
      <w:pPr>
        <w:pStyle w:val="2"/>
        <w:spacing w:before="267" w:line="624" w:lineRule="exact"/>
        <w:ind w:right="2"/>
        <w:jc w:val="right"/>
      </w:pPr>
      <w:r>
        <w:rPr>
          <w:spacing w:val="2"/>
          <w:position w:val="24"/>
        </w:rPr>
        <w:t>6、出卖、出借、转让、涂改、复制《资质等级证书》或伪造更高一级《资</w:t>
      </w:r>
    </w:p>
    <w:p>
      <w:pPr>
        <w:pStyle w:val="2"/>
        <w:spacing w:before="1" w:line="219" w:lineRule="auto"/>
        <w:ind w:left="1"/>
      </w:pPr>
      <w:r>
        <w:rPr>
          <w:spacing w:val="-1"/>
        </w:rPr>
        <w:t>质等级证书》用以承揽业务或进行宣传、谋利；</w:t>
      </w:r>
    </w:p>
    <w:p>
      <w:pPr>
        <w:pStyle w:val="2"/>
        <w:spacing w:before="268" w:line="220" w:lineRule="auto"/>
        <w:ind w:left="607"/>
      </w:pPr>
      <w:r>
        <w:rPr>
          <w:spacing w:val="-1"/>
        </w:rPr>
        <w:t>7、由于未办理必须或基础保险而产生的严惩后果；</w:t>
      </w:r>
    </w:p>
    <w:p>
      <w:pPr>
        <w:spacing w:line="220" w:lineRule="auto"/>
        <w:sectPr>
          <w:footerReference r:id="rId12" w:type="default"/>
          <w:pgSz w:w="11906" w:h="16839"/>
          <w:pgMar w:top="1431" w:right="745" w:bottom="1431" w:left="731" w:header="0" w:footer="1179" w:gutter="0"/>
          <w:cols w:space="720" w:num="1"/>
        </w:sectPr>
      </w:pPr>
    </w:p>
    <w:p>
      <w:pPr>
        <w:pStyle w:val="2"/>
        <w:spacing w:before="60" w:line="220" w:lineRule="auto"/>
        <w:ind w:left="602"/>
      </w:pPr>
      <w:r>
        <w:rPr>
          <w:spacing w:val="-1"/>
        </w:rPr>
        <w:t>8、未在规定的期限内办理年检及复评手续；</w:t>
      </w:r>
    </w:p>
    <w:p>
      <w:pPr>
        <w:pStyle w:val="2"/>
        <w:spacing w:before="266" w:line="624" w:lineRule="exact"/>
        <w:ind w:right="2"/>
        <w:jc w:val="right"/>
      </w:pPr>
      <w:r>
        <w:rPr>
          <w:spacing w:val="2"/>
          <w:position w:val="24"/>
        </w:rPr>
        <w:t>9、隐瞒或提供重大的虚假信息参加资质等级评定，一经查实，已获资质等</w:t>
      </w:r>
    </w:p>
    <w:p>
      <w:pPr>
        <w:pStyle w:val="2"/>
        <w:spacing w:line="220" w:lineRule="auto"/>
        <w:ind w:left="5"/>
      </w:pPr>
      <w:r>
        <w:rPr>
          <w:spacing w:val="-1"/>
        </w:rPr>
        <w:t>级的予以立即撤销；尚未获得资质等级的予以冻结资质等级评定资格两年。</w:t>
      </w: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7" w:line="220" w:lineRule="auto"/>
        <w:ind w:left="1"/>
      </w:pPr>
      <w:r>
        <w:rPr>
          <w:spacing w:val="-6"/>
          <w14:textOutline w14:w="5448" w14:cap="sq" w14:cmpd="sng">
            <w14:solidFill>
              <w14:srgbClr w14:val="000000"/>
            </w14:solidFill>
            <w14:prstDash w14:val="solid"/>
            <w14:bevel/>
          </w14:textOutline>
        </w:rPr>
        <w:t>第十八条</w:t>
      </w:r>
      <w:r>
        <w:rPr>
          <w:spacing w:val="14"/>
        </w:rPr>
        <w:t xml:space="preserve">  </w:t>
      </w:r>
      <w:r>
        <w:rPr>
          <w:spacing w:val="-6"/>
          <w14:textOutline w14:w="5448" w14:cap="sq" w14:cmpd="sng">
            <w14:solidFill>
              <w14:srgbClr w14:val="000000"/>
            </w14:solidFill>
            <w14:prstDash w14:val="solid"/>
            <w14:bevel/>
          </w14:textOutline>
        </w:rPr>
        <w:t>责任</w:t>
      </w:r>
    </w:p>
    <w:p>
      <w:pPr>
        <w:pStyle w:val="2"/>
        <w:spacing w:before="266" w:line="624" w:lineRule="exact"/>
        <w:ind w:right="2"/>
        <w:jc w:val="right"/>
      </w:pPr>
      <w:r>
        <w:rPr>
          <w:spacing w:val="2"/>
          <w:position w:val="24"/>
        </w:rPr>
        <w:t>1、已获资质等级的主办机构在经营活动中</w:t>
      </w:r>
      <w:r>
        <w:rPr>
          <w:spacing w:val="1"/>
          <w:position w:val="24"/>
        </w:rPr>
        <w:t>，发生经济纠纷，民事纠纷等违</w:t>
      </w:r>
    </w:p>
    <w:p>
      <w:pPr>
        <w:pStyle w:val="2"/>
        <w:spacing w:line="219" w:lineRule="auto"/>
        <w:ind w:left="2"/>
      </w:pPr>
      <w:r>
        <w:rPr>
          <w:spacing w:val="-1"/>
        </w:rPr>
        <w:t>法行为由该机构自负经济和法律责任；</w:t>
      </w:r>
    </w:p>
    <w:p>
      <w:pPr>
        <w:pStyle w:val="2"/>
        <w:spacing w:before="267" w:line="384" w:lineRule="auto"/>
        <w:ind w:firstLine="604"/>
      </w:pPr>
      <w:r>
        <w:rPr>
          <w:spacing w:val="2"/>
        </w:rPr>
        <w:t>2、广州市会展业行业协会及其主办机构资质评定工作委员会对主办机构在</w:t>
      </w:r>
      <w:r>
        <w:rPr>
          <w:spacing w:val="5"/>
        </w:rPr>
        <w:t xml:space="preserve"> </w:t>
      </w:r>
      <w:r>
        <w:rPr>
          <w:spacing w:val="-2"/>
        </w:rPr>
        <w:t>申报过程中提供的资料内涉及商业秘密的事项负有保密责任，如有违反并给</w:t>
      </w:r>
      <w:r>
        <w:rPr>
          <w:spacing w:val="-3"/>
        </w:rPr>
        <w:t>主办</w:t>
      </w:r>
      <w:r>
        <w:t xml:space="preserve"> </w:t>
      </w:r>
      <w:r>
        <w:rPr>
          <w:spacing w:val="-2"/>
        </w:rPr>
        <w:t>机构带来严惩的信誉或经济损失的，将给相关责任人予以严肃处理直至追究</w:t>
      </w:r>
      <w:r>
        <w:rPr>
          <w:spacing w:val="-3"/>
        </w:rPr>
        <w:t>法律</w:t>
      </w:r>
    </w:p>
    <w:p>
      <w:pPr>
        <w:pStyle w:val="2"/>
        <w:spacing w:before="1" w:line="220" w:lineRule="auto"/>
        <w:ind w:left="11"/>
      </w:pPr>
      <w:r>
        <w:rPr>
          <w:spacing w:val="-8"/>
        </w:rPr>
        <w:t>责任。</w:t>
      </w: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pStyle w:val="2"/>
        <w:spacing w:before="98" w:line="219" w:lineRule="auto"/>
        <w:ind w:left="4623"/>
        <w:outlineLvl w:val="0"/>
      </w:pPr>
      <w:r>
        <w:rPr>
          <w:spacing w:val="-4"/>
          <w14:textOutline w14:w="5448" w14:cap="sq" w14:cmpd="sng">
            <w14:solidFill>
              <w14:srgbClr w14:val="000000"/>
            </w14:solidFill>
            <w14:prstDash w14:val="solid"/>
            <w14:bevel/>
          </w14:textOutline>
        </w:rPr>
        <w:t>五、附则</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8" w:line="220" w:lineRule="auto"/>
        <w:ind w:left="1"/>
      </w:pPr>
      <w:r>
        <w:rPr>
          <w:spacing w:val="-1"/>
          <w14:textOutline w14:w="5448" w14:cap="sq" w14:cmpd="sng">
            <w14:solidFill>
              <w14:srgbClr w14:val="000000"/>
            </w14:solidFill>
            <w14:prstDash w14:val="solid"/>
            <w14:bevel/>
          </w14:textOutline>
        </w:rPr>
        <w:t>第十九条</w:t>
      </w:r>
      <w:r>
        <w:rPr>
          <w:spacing w:val="-1"/>
        </w:rPr>
        <w:t xml:space="preserve">  </w:t>
      </w:r>
      <w:r>
        <w:rPr>
          <w:spacing w:val="-1"/>
          <w14:textOutline w14:w="5448" w14:cap="sq" w14:cmpd="sng">
            <w14:solidFill>
              <w14:srgbClr w14:val="000000"/>
            </w14:solidFill>
            <w14:prstDash w14:val="solid"/>
            <w14:bevel/>
          </w14:textOutline>
        </w:rPr>
        <w:t>解释</w:t>
      </w:r>
    </w:p>
    <w:p>
      <w:pPr>
        <w:pStyle w:val="2"/>
        <w:spacing w:before="266" w:line="624" w:lineRule="exact"/>
        <w:jc w:val="right"/>
      </w:pPr>
      <w:r>
        <w:rPr>
          <w:spacing w:val="7"/>
          <w:position w:val="24"/>
        </w:rPr>
        <w:t>本细则由广州市会展业行业协会主办机构资质评定工作委员会负责解释和</w:t>
      </w:r>
    </w:p>
    <w:p>
      <w:pPr>
        <w:pStyle w:val="2"/>
        <w:spacing w:line="220" w:lineRule="auto"/>
        <w:ind w:left="1"/>
      </w:pPr>
      <w:r>
        <w:rPr>
          <w:spacing w:val="-4"/>
        </w:rPr>
        <w:t>修订。</w:t>
      </w: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pStyle w:val="2"/>
        <w:spacing w:before="98" w:line="220" w:lineRule="auto"/>
        <w:ind w:left="1"/>
      </w:pPr>
      <w:r>
        <w:rPr>
          <w:spacing w:val="-4"/>
          <w14:textOutline w14:w="5448" w14:cap="sq" w14:cmpd="sng">
            <w14:solidFill>
              <w14:srgbClr w14:val="000000"/>
            </w14:solidFill>
            <w14:prstDash w14:val="solid"/>
            <w14:bevel/>
          </w14:textOutline>
        </w:rPr>
        <w:t>第二十条</w:t>
      </w:r>
      <w:r>
        <w:rPr>
          <w:spacing w:val="13"/>
        </w:rPr>
        <w:t xml:space="preserve">  </w:t>
      </w:r>
      <w:r>
        <w:rPr>
          <w:spacing w:val="-4"/>
          <w14:textOutline w14:w="5448" w14:cap="sq" w14:cmpd="sng">
            <w14:solidFill>
              <w14:srgbClr w14:val="000000"/>
            </w14:solidFill>
            <w14:prstDash w14:val="solid"/>
            <w14:bevel/>
          </w14:textOutline>
        </w:rPr>
        <w:t>实施日期</w:t>
      </w:r>
    </w:p>
    <w:p>
      <w:pPr>
        <w:pStyle w:val="2"/>
        <w:spacing w:before="267" w:line="219" w:lineRule="auto"/>
        <w:ind w:left="602"/>
      </w:pPr>
      <w:r>
        <w:rPr>
          <w:spacing w:val="-1"/>
        </w:rPr>
        <w:t>本细则自发布之日起开始实施。</w:t>
      </w:r>
    </w:p>
    <w:sectPr>
      <w:footerReference r:id="rId13" w:type="default"/>
      <w:pgSz w:w="11906" w:h="16839"/>
      <w:pgMar w:top="1235" w:right="745" w:bottom="1431" w:left="730" w:header="0" w:footer="117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exact"/>
      <w:ind w:right="5"/>
      <w:jc w:val="right"/>
      <w:rPr>
        <w:rFonts w:ascii="Calibri" w:hAnsi="Calibri" w:eastAsia="Calibri" w:cs="Calibri"/>
        <w:sz w:val="18"/>
        <w:szCs w:val="18"/>
      </w:rPr>
    </w:pPr>
    <w:r>
      <w:rPr>
        <w:rFonts w:ascii="Calibri" w:hAnsi="Calibri" w:eastAsia="Calibri" w:cs="Calibri"/>
        <w:b/>
        <w:bCs/>
        <w:spacing w:val="-4"/>
        <w:position w:val="2"/>
        <w:sz w:val="18"/>
        <w:szCs w:val="18"/>
      </w:rPr>
      <w:t xml:space="preserve">1 </w:t>
    </w:r>
    <w:r>
      <w:rPr>
        <w:rFonts w:ascii="Calibri" w:hAnsi="Calibri" w:eastAsia="Calibri" w:cs="Calibri"/>
        <w:spacing w:val="-4"/>
        <w:position w:val="2"/>
        <w:sz w:val="18"/>
        <w:szCs w:val="18"/>
      </w:rPr>
      <w:t>/</w:t>
    </w:r>
    <w:r>
      <w:rPr>
        <w:rFonts w:ascii="Calibri" w:hAnsi="Calibri" w:eastAsia="Calibri" w:cs="Calibri"/>
        <w:spacing w:val="5"/>
        <w:position w:val="2"/>
        <w:sz w:val="18"/>
        <w:szCs w:val="18"/>
      </w:rPr>
      <w:t xml:space="preserve"> </w:t>
    </w:r>
    <w:r>
      <w:rPr>
        <w:rFonts w:ascii="Calibri" w:hAnsi="Calibri" w:eastAsia="Calibri" w:cs="Calibri"/>
        <w:b/>
        <w:bCs/>
        <w:spacing w:val="-4"/>
        <w:position w:val="2"/>
        <w:sz w:val="18"/>
        <w:szCs w:val="18"/>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exact"/>
      <w:jc w:val="right"/>
      <w:rPr>
        <w:rFonts w:ascii="Calibri" w:hAnsi="Calibri" w:eastAsia="Calibri" w:cs="Calibri"/>
        <w:sz w:val="18"/>
        <w:szCs w:val="18"/>
      </w:rPr>
    </w:pPr>
    <w:r>
      <w:rPr>
        <w:rFonts w:ascii="Calibri" w:hAnsi="Calibri" w:eastAsia="Calibri" w:cs="Calibri"/>
        <w:b/>
        <w:bCs/>
        <w:spacing w:val="-4"/>
        <w:position w:val="2"/>
        <w:sz w:val="18"/>
        <w:szCs w:val="18"/>
      </w:rPr>
      <w:t xml:space="preserve">2 </w:t>
    </w:r>
    <w:r>
      <w:rPr>
        <w:rFonts w:ascii="Calibri" w:hAnsi="Calibri" w:eastAsia="Calibri" w:cs="Calibri"/>
        <w:spacing w:val="-4"/>
        <w:position w:val="2"/>
        <w:sz w:val="18"/>
        <w:szCs w:val="18"/>
      </w:rPr>
      <w:t>/</w:t>
    </w:r>
    <w:r>
      <w:rPr>
        <w:rFonts w:ascii="Calibri" w:hAnsi="Calibri" w:eastAsia="Calibri" w:cs="Calibri"/>
        <w:spacing w:val="4"/>
        <w:position w:val="2"/>
        <w:sz w:val="18"/>
        <w:szCs w:val="18"/>
      </w:rPr>
      <w:t xml:space="preserve"> </w:t>
    </w:r>
    <w:r>
      <w:rPr>
        <w:rFonts w:ascii="Calibri" w:hAnsi="Calibri" w:eastAsia="Calibri" w:cs="Calibri"/>
        <w:b/>
        <w:bCs/>
        <w:spacing w:val="-4"/>
        <w:position w:val="2"/>
        <w:sz w:val="18"/>
        <w:szCs w:val="18"/>
      </w:rPr>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exact"/>
      <w:ind w:left="10105"/>
      <w:rPr>
        <w:rFonts w:ascii="Calibri" w:hAnsi="Calibri" w:eastAsia="Calibri" w:cs="Calibri"/>
        <w:sz w:val="18"/>
        <w:szCs w:val="18"/>
      </w:rPr>
    </w:pPr>
    <w:r>
      <w:rPr>
        <w:rFonts w:ascii="Calibri" w:hAnsi="Calibri" w:eastAsia="Calibri" w:cs="Calibri"/>
        <w:b/>
        <w:bCs/>
        <w:spacing w:val="-2"/>
        <w:position w:val="2"/>
        <w:sz w:val="18"/>
        <w:szCs w:val="18"/>
      </w:rPr>
      <w:t xml:space="preserve">3 </w:t>
    </w:r>
    <w:r>
      <w:rPr>
        <w:rFonts w:ascii="Calibri" w:hAnsi="Calibri" w:eastAsia="Calibri" w:cs="Calibri"/>
        <w:spacing w:val="-2"/>
        <w:position w:val="2"/>
        <w:sz w:val="18"/>
        <w:szCs w:val="18"/>
      </w:rPr>
      <w:t>/</w:t>
    </w:r>
    <w:r>
      <w:rPr>
        <w:rFonts w:ascii="Calibri" w:hAnsi="Calibri" w:eastAsia="Calibri" w:cs="Calibri"/>
        <w:spacing w:val="3"/>
        <w:position w:val="2"/>
        <w:sz w:val="18"/>
        <w:szCs w:val="18"/>
      </w:rPr>
      <w:t xml:space="preserve"> </w:t>
    </w:r>
    <w:r>
      <w:rPr>
        <w:rFonts w:ascii="Calibri" w:hAnsi="Calibri" w:eastAsia="Calibri" w:cs="Calibri"/>
        <w:b/>
        <w:bCs/>
        <w:spacing w:val="-2"/>
        <w:position w:val="2"/>
        <w:sz w:val="18"/>
        <w:szCs w:val="18"/>
      </w:rPr>
      <w:t>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exact"/>
      <w:ind w:left="10101"/>
      <w:rPr>
        <w:rFonts w:ascii="Calibri" w:hAnsi="Calibri" w:eastAsia="Calibri" w:cs="Calibri"/>
        <w:sz w:val="18"/>
        <w:szCs w:val="18"/>
      </w:rPr>
    </w:pPr>
    <w:r>
      <w:rPr>
        <w:rFonts w:ascii="Calibri" w:hAnsi="Calibri" w:eastAsia="Calibri" w:cs="Calibri"/>
        <w:b/>
        <w:bCs/>
        <w:spacing w:val="-1"/>
        <w:position w:val="2"/>
        <w:sz w:val="18"/>
        <w:szCs w:val="18"/>
      </w:rPr>
      <w:t xml:space="preserve">4 </w:t>
    </w:r>
    <w:r>
      <w:rPr>
        <w:rFonts w:ascii="Calibri" w:hAnsi="Calibri" w:eastAsia="Calibri" w:cs="Calibri"/>
        <w:spacing w:val="-1"/>
        <w:position w:val="2"/>
        <w:sz w:val="18"/>
        <w:szCs w:val="18"/>
      </w:rPr>
      <w:t>/</w:t>
    </w:r>
    <w:r>
      <w:rPr>
        <w:rFonts w:ascii="Calibri" w:hAnsi="Calibri" w:eastAsia="Calibri" w:cs="Calibri"/>
        <w:spacing w:val="3"/>
        <w:position w:val="2"/>
        <w:sz w:val="18"/>
        <w:szCs w:val="18"/>
      </w:rPr>
      <w:t xml:space="preserve"> </w:t>
    </w:r>
    <w:r>
      <w:rPr>
        <w:rFonts w:ascii="Calibri" w:hAnsi="Calibri" w:eastAsia="Calibri" w:cs="Calibri"/>
        <w:b/>
        <w:bCs/>
        <w:spacing w:val="-1"/>
        <w:position w:val="2"/>
        <w:sz w:val="18"/>
        <w:szCs w:val="18"/>
      </w:rPr>
      <w:t>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exact"/>
      <w:ind w:left="10106"/>
      <w:rPr>
        <w:rFonts w:ascii="Calibri" w:hAnsi="Calibri" w:eastAsia="Calibri" w:cs="Calibri"/>
        <w:sz w:val="18"/>
        <w:szCs w:val="18"/>
      </w:rPr>
    </w:pPr>
    <w:r>
      <w:rPr>
        <w:rFonts w:ascii="Calibri" w:hAnsi="Calibri" w:eastAsia="Calibri" w:cs="Calibri"/>
        <w:b/>
        <w:bCs/>
        <w:spacing w:val="-3"/>
        <w:position w:val="2"/>
        <w:sz w:val="18"/>
        <w:szCs w:val="18"/>
      </w:rPr>
      <w:t xml:space="preserve">5 </w:t>
    </w:r>
    <w:r>
      <w:rPr>
        <w:rFonts w:ascii="Calibri" w:hAnsi="Calibri" w:eastAsia="Calibri" w:cs="Calibri"/>
        <w:spacing w:val="-3"/>
        <w:position w:val="2"/>
        <w:sz w:val="18"/>
        <w:szCs w:val="18"/>
      </w:rPr>
      <w:t>/</w:t>
    </w:r>
    <w:r>
      <w:rPr>
        <w:rFonts w:ascii="Calibri" w:hAnsi="Calibri" w:eastAsia="Calibri" w:cs="Calibri"/>
        <w:spacing w:val="6"/>
        <w:position w:val="2"/>
        <w:sz w:val="18"/>
        <w:szCs w:val="18"/>
      </w:rPr>
      <w:t xml:space="preserve"> </w:t>
    </w:r>
    <w:r>
      <w:rPr>
        <w:rFonts w:ascii="Calibri" w:hAnsi="Calibri" w:eastAsia="Calibri" w:cs="Calibri"/>
        <w:b/>
        <w:bCs/>
        <w:spacing w:val="-3"/>
        <w:position w:val="2"/>
        <w:sz w:val="18"/>
        <w:szCs w:val="18"/>
      </w:rPr>
      <w:t>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exact"/>
      <w:jc w:val="right"/>
      <w:rPr>
        <w:rFonts w:ascii="Calibri" w:hAnsi="Calibri" w:eastAsia="Calibri" w:cs="Calibri"/>
        <w:sz w:val="18"/>
        <w:szCs w:val="18"/>
      </w:rPr>
    </w:pPr>
    <w:r>
      <w:rPr>
        <w:rFonts w:ascii="Calibri" w:hAnsi="Calibri" w:eastAsia="Calibri" w:cs="Calibri"/>
        <w:b/>
        <w:bCs/>
        <w:spacing w:val="-4"/>
        <w:position w:val="2"/>
        <w:sz w:val="18"/>
        <w:szCs w:val="18"/>
      </w:rPr>
      <w:t xml:space="preserve">6 </w:t>
    </w:r>
    <w:r>
      <w:rPr>
        <w:rFonts w:ascii="Calibri" w:hAnsi="Calibri" w:eastAsia="Calibri" w:cs="Calibri"/>
        <w:spacing w:val="-4"/>
        <w:position w:val="2"/>
        <w:sz w:val="18"/>
        <w:szCs w:val="18"/>
      </w:rPr>
      <w:t>/</w:t>
    </w:r>
    <w:r>
      <w:rPr>
        <w:rFonts w:ascii="Calibri" w:hAnsi="Calibri" w:eastAsia="Calibri" w:cs="Calibri"/>
        <w:spacing w:val="5"/>
        <w:position w:val="2"/>
        <w:sz w:val="18"/>
        <w:szCs w:val="18"/>
      </w:rPr>
      <w:t xml:space="preserve"> </w:t>
    </w:r>
    <w:r>
      <w:rPr>
        <w:rFonts w:ascii="Calibri" w:hAnsi="Calibri" w:eastAsia="Calibri" w:cs="Calibri"/>
        <w:b/>
        <w:bCs/>
        <w:spacing w:val="-4"/>
        <w:position w:val="2"/>
        <w:sz w:val="18"/>
        <w:szCs w:val="18"/>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exact"/>
      <w:jc w:val="right"/>
      <w:rPr>
        <w:rFonts w:ascii="Calibri" w:hAnsi="Calibri" w:eastAsia="Calibri" w:cs="Calibri"/>
        <w:sz w:val="18"/>
        <w:szCs w:val="18"/>
      </w:rPr>
    </w:pPr>
    <w:r>
      <w:rPr>
        <w:rFonts w:ascii="Calibri" w:hAnsi="Calibri" w:eastAsia="Calibri" w:cs="Calibri"/>
        <w:b/>
        <w:bCs/>
        <w:spacing w:val="-4"/>
        <w:position w:val="2"/>
        <w:sz w:val="18"/>
        <w:szCs w:val="18"/>
      </w:rPr>
      <w:t xml:space="preserve">7 </w:t>
    </w:r>
    <w:r>
      <w:rPr>
        <w:rFonts w:ascii="Calibri" w:hAnsi="Calibri" w:eastAsia="Calibri" w:cs="Calibri"/>
        <w:spacing w:val="-4"/>
        <w:position w:val="2"/>
        <w:sz w:val="18"/>
        <w:szCs w:val="18"/>
      </w:rPr>
      <w:t>/</w:t>
    </w:r>
    <w:r>
      <w:rPr>
        <w:rFonts w:ascii="Calibri" w:hAnsi="Calibri" w:eastAsia="Calibri" w:cs="Calibri"/>
        <w:spacing w:val="5"/>
        <w:position w:val="2"/>
        <w:sz w:val="18"/>
        <w:szCs w:val="18"/>
      </w:rPr>
      <w:t xml:space="preserve"> </w:t>
    </w:r>
    <w:r>
      <w:rPr>
        <w:rFonts w:ascii="Calibri" w:hAnsi="Calibri" w:eastAsia="Calibri" w:cs="Calibri"/>
        <w:b/>
        <w:bCs/>
        <w:spacing w:val="-4"/>
        <w:position w:val="2"/>
        <w:sz w:val="18"/>
        <w:szCs w:val="18"/>
      </w:rPr>
      <w:t>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exact"/>
      <w:jc w:val="right"/>
      <w:rPr>
        <w:rFonts w:ascii="Calibri" w:hAnsi="Calibri" w:eastAsia="Calibri" w:cs="Calibri"/>
        <w:sz w:val="18"/>
        <w:szCs w:val="18"/>
      </w:rPr>
    </w:pPr>
    <w:r>
      <w:rPr>
        <w:rFonts w:ascii="Calibri" w:hAnsi="Calibri" w:eastAsia="Calibri" w:cs="Calibri"/>
        <w:b/>
        <w:bCs/>
        <w:spacing w:val="-3"/>
        <w:position w:val="2"/>
        <w:sz w:val="18"/>
        <w:szCs w:val="18"/>
      </w:rPr>
      <w:t xml:space="preserve">8 </w:t>
    </w:r>
    <w:r>
      <w:rPr>
        <w:rFonts w:ascii="Calibri" w:hAnsi="Calibri" w:eastAsia="Calibri" w:cs="Calibri"/>
        <w:spacing w:val="-3"/>
        <w:position w:val="2"/>
        <w:sz w:val="18"/>
        <w:szCs w:val="18"/>
      </w:rPr>
      <w:t>/</w:t>
    </w:r>
    <w:r>
      <w:rPr>
        <w:rFonts w:ascii="Calibri" w:hAnsi="Calibri" w:eastAsia="Calibri" w:cs="Calibri"/>
        <w:spacing w:val="3"/>
        <w:position w:val="2"/>
        <w:sz w:val="18"/>
        <w:szCs w:val="18"/>
      </w:rPr>
      <w:t xml:space="preserve"> </w:t>
    </w:r>
    <w:r>
      <w:rPr>
        <w:rFonts w:ascii="Calibri" w:hAnsi="Calibri" w:eastAsia="Calibri" w:cs="Calibri"/>
        <w:b/>
        <w:bCs/>
        <w:spacing w:val="-3"/>
        <w:position w:val="2"/>
        <w:sz w:val="18"/>
        <w:szCs w:val="18"/>
      </w:rPr>
      <w:t>9</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exact"/>
      <w:jc w:val="right"/>
      <w:rPr>
        <w:rFonts w:ascii="Calibri" w:hAnsi="Calibri" w:eastAsia="Calibri" w:cs="Calibri"/>
        <w:sz w:val="18"/>
        <w:szCs w:val="18"/>
      </w:rPr>
    </w:pPr>
    <w:r>
      <w:rPr>
        <w:rFonts w:ascii="Calibri" w:hAnsi="Calibri" w:eastAsia="Calibri" w:cs="Calibri"/>
        <w:b/>
        <w:bCs/>
        <w:spacing w:val="-3"/>
        <w:position w:val="2"/>
        <w:sz w:val="18"/>
        <w:szCs w:val="18"/>
      </w:rPr>
      <w:t xml:space="preserve">9 </w:t>
    </w:r>
    <w:r>
      <w:rPr>
        <w:rFonts w:ascii="Calibri" w:hAnsi="Calibri" w:eastAsia="Calibri" w:cs="Calibri"/>
        <w:spacing w:val="-3"/>
        <w:position w:val="2"/>
        <w:sz w:val="18"/>
        <w:szCs w:val="18"/>
      </w:rPr>
      <w:t>/</w:t>
    </w:r>
    <w:r>
      <w:rPr>
        <w:rFonts w:ascii="Calibri" w:hAnsi="Calibri" w:eastAsia="Calibri" w:cs="Calibri"/>
        <w:spacing w:val="3"/>
        <w:position w:val="2"/>
        <w:sz w:val="18"/>
        <w:szCs w:val="18"/>
      </w:rPr>
      <w:t xml:space="preserve"> </w:t>
    </w:r>
    <w:r>
      <w:rPr>
        <w:rFonts w:ascii="Calibri" w:hAnsi="Calibri" w:eastAsia="Calibri" w:cs="Calibri"/>
        <w:b/>
        <w:bCs/>
        <w:spacing w:val="-3"/>
        <w:position w:val="2"/>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CB22EFF"/>
    <w:rsid w:val="2A9959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0"/>
      <w:szCs w:val="3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3530</Words>
  <Characters>3596</Characters>
  <TotalTime>1</TotalTime>
  <ScaleCrop>false</ScaleCrop>
  <LinksUpToDate>false</LinksUpToDate>
  <CharactersWithSpaces>3724</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2020-07-09T16:49:00Z</dcterms:created>
  <dc:creator>微软中国</dc:creator>
  <cp:lastModifiedBy>Wendy</cp:lastModifiedBy>
  <dcterms:modified xsi:type="dcterms:W3CDTF">2023-08-23T01:52:12Z</dcterms:modified>
  <dc:title>广州市会展行业主(承)办机构资质等级</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2023-08-23T09:50:55Z</vt:filetime>
  </property>
  <property fmtid="{D5CDD505-2E9C-101B-9397-08002B2CF9AE}" pid="4" name="KSOProductBuildVer">
    <vt:lpwstr>2052-11.1.0.14309</vt:lpwstr>
  </property>
  <property fmtid="{D5CDD505-2E9C-101B-9397-08002B2CF9AE}" pid="5" name="ICV">
    <vt:lpwstr>90DB3AD0717F4108A0F63758C9474F8A_13</vt:lpwstr>
  </property>
</Properties>
</file>